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tblGrid>
      <w:tr w:rsidR="008078E3" w14:paraId="19A84E59" w14:textId="77777777" w:rsidTr="00FC33D0">
        <w:tc>
          <w:tcPr>
            <w:tcW w:w="8959" w:type="dxa"/>
            <w:shd w:val="clear" w:color="auto" w:fill="D9D9D9"/>
            <w:vAlign w:val="center"/>
          </w:tcPr>
          <w:p w14:paraId="51934419" w14:textId="77777777" w:rsidR="008078E3" w:rsidRPr="00E00EAD" w:rsidRDefault="008078E3" w:rsidP="0087558B">
            <w:pPr>
              <w:pStyle w:val="TableHeading"/>
              <w:keepNext/>
              <w:keepLines/>
              <w:jc w:val="left"/>
              <w:rPr>
                <w:rStyle w:val="BodyTextbold"/>
              </w:rPr>
            </w:pPr>
            <w:r w:rsidRPr="00E00EAD">
              <w:rPr>
                <w:rStyle w:val="BodyTextbold"/>
              </w:rPr>
              <w:t xml:space="preserve">Fulfilling the requirements in this Compliance Schedule does not automatically mean a party has complied with the Queensland </w:t>
            </w:r>
            <w:r w:rsidR="0087558B">
              <w:rPr>
                <w:rStyle w:val="BodyTextbold"/>
              </w:rPr>
              <w:t>Codes</w:t>
            </w:r>
            <w:r w:rsidRPr="00E00EAD">
              <w:rPr>
                <w:rStyle w:val="BodyTextbold"/>
              </w:rPr>
              <w:t xml:space="preserve">, whereas a failure to fulfil a requirement in this Compliance Schedule is, prima facie, considered to be acting inconsistently with the Queensland </w:t>
            </w:r>
            <w:r w:rsidR="0087558B">
              <w:rPr>
                <w:rStyle w:val="BodyTextbold"/>
              </w:rPr>
              <w:t>Codes</w:t>
            </w:r>
            <w:r w:rsidRPr="00E00EAD">
              <w:rPr>
                <w:rStyle w:val="BodyTextbold"/>
              </w:rPr>
              <w:t>.</w:t>
            </w:r>
          </w:p>
        </w:tc>
      </w:tr>
      <w:tr w:rsidR="008078E3" w14:paraId="7F5D83A2" w14:textId="77777777" w:rsidTr="0082649D">
        <w:trPr>
          <w:trHeight w:val="9887"/>
        </w:trPr>
        <w:tc>
          <w:tcPr>
            <w:tcW w:w="8959" w:type="dxa"/>
            <w:shd w:val="clear" w:color="auto" w:fill="auto"/>
            <w:vAlign w:val="center"/>
          </w:tcPr>
          <w:p w14:paraId="68D268F2" w14:textId="77777777" w:rsidR="008078E3" w:rsidRPr="006A59C0" w:rsidRDefault="008078E3" w:rsidP="008078E3">
            <w:pPr>
              <w:pStyle w:val="TableBodyText"/>
              <w:widowControl w:val="0"/>
              <w:rPr>
                <w:b/>
              </w:rPr>
            </w:pPr>
            <w:r w:rsidRPr="006A59C0">
              <w:rPr>
                <w:b/>
              </w:rPr>
              <w:t xml:space="preserve">Compliance </w:t>
            </w:r>
            <w:r w:rsidR="00F517F4">
              <w:rPr>
                <w:b/>
              </w:rPr>
              <w:t>s</w:t>
            </w:r>
            <w:r w:rsidRPr="006A59C0">
              <w:rPr>
                <w:b/>
              </w:rPr>
              <w:t>chedule</w:t>
            </w:r>
          </w:p>
          <w:p w14:paraId="6B110A17" w14:textId="77777777" w:rsidR="008078E3" w:rsidRPr="006A59C0" w:rsidRDefault="008078E3" w:rsidP="008078E3">
            <w:pPr>
              <w:pStyle w:val="TableBodyText"/>
              <w:widowControl w:val="0"/>
              <w:ind w:left="171"/>
              <w:rPr>
                <w:b/>
              </w:rPr>
            </w:pPr>
            <w:r w:rsidRPr="006A59C0">
              <w:rPr>
                <w:b/>
              </w:rPr>
              <w:t xml:space="preserve">Primary </w:t>
            </w:r>
            <w:r w:rsidR="00F517F4">
              <w:rPr>
                <w:b/>
              </w:rPr>
              <w:t>a</w:t>
            </w:r>
            <w:r w:rsidRPr="006A59C0">
              <w:rPr>
                <w:b/>
              </w:rPr>
              <w:t xml:space="preserve">cknowledgments and </w:t>
            </w:r>
            <w:r w:rsidR="00F517F4">
              <w:rPr>
                <w:b/>
              </w:rPr>
              <w:t>u</w:t>
            </w:r>
            <w:r w:rsidRPr="006A59C0">
              <w:rPr>
                <w:b/>
              </w:rPr>
              <w:t>ndertakings</w:t>
            </w:r>
          </w:p>
          <w:p w14:paraId="07BD1011" w14:textId="5901D4D1" w:rsidR="008078E3" w:rsidRPr="0018145A" w:rsidRDefault="008078E3" w:rsidP="0021084E">
            <w:pPr>
              <w:pStyle w:val="TableBodyText"/>
              <w:widowControl w:val="0"/>
              <w:numPr>
                <w:ilvl w:val="0"/>
                <w:numId w:val="40"/>
              </w:numPr>
              <w:tabs>
                <w:tab w:val="clear" w:pos="720"/>
                <w:tab w:val="num" w:pos="1197"/>
              </w:tabs>
              <w:ind w:left="1055" w:hanging="695"/>
            </w:pPr>
            <w:r w:rsidRPr="0018145A">
              <w:t xml:space="preserve">By completing this Compliance Schedule and submitting an expression of interest or </w:t>
            </w:r>
            <w:r w:rsidR="00282599">
              <w:t>T</w:t>
            </w:r>
            <w:r w:rsidRPr="0018145A">
              <w:t xml:space="preserve">ender response, the Tenderer: </w:t>
            </w:r>
          </w:p>
          <w:p w14:paraId="7B1E0B74" w14:textId="02389335" w:rsidR="008078E3" w:rsidRPr="0018145A" w:rsidRDefault="008078E3" w:rsidP="008078E3">
            <w:pPr>
              <w:pStyle w:val="TableBodyText"/>
              <w:widowControl w:val="0"/>
              <w:numPr>
                <w:ilvl w:val="1"/>
                <w:numId w:val="40"/>
              </w:numPr>
            </w:pPr>
            <w:r w:rsidRPr="0018145A">
              <w:t xml:space="preserve">acknowledges that the Queensland Government’s </w:t>
            </w:r>
            <w:r w:rsidRPr="00E00EAD">
              <w:rPr>
                <w:i/>
              </w:rPr>
              <w:t>Code of Practice for the Building and Construction Industry</w:t>
            </w:r>
            <w:r w:rsidR="00282599">
              <w:t> </w:t>
            </w:r>
            <w:r w:rsidRPr="0018145A">
              <w:t xml:space="preserve">(Queensland Code) </w:t>
            </w:r>
            <w:r w:rsidR="0087558B">
              <w:t>applies</w:t>
            </w:r>
            <w:r w:rsidRPr="0018145A">
              <w:t xml:space="preserve"> to the project</w:t>
            </w:r>
            <w:r w:rsidR="00282599">
              <w:t>,</w:t>
            </w:r>
            <w:r w:rsidRPr="0018145A">
              <w:t xml:space="preserve"> the subject of this Tender</w:t>
            </w:r>
          </w:p>
          <w:p w14:paraId="4AAA5295" w14:textId="77777777" w:rsidR="008078E3" w:rsidRPr="0018145A" w:rsidRDefault="008078E3" w:rsidP="008078E3">
            <w:pPr>
              <w:pStyle w:val="TableBodyText"/>
              <w:widowControl w:val="0"/>
              <w:numPr>
                <w:ilvl w:val="1"/>
                <w:numId w:val="40"/>
              </w:numPr>
            </w:pPr>
            <w:r w:rsidRPr="0018145A">
              <w:t xml:space="preserve">undertakes that it, and its related entities, will comply with the Queensland Code </w:t>
            </w:r>
            <w:r w:rsidR="0087558B">
              <w:t>on:</w:t>
            </w:r>
          </w:p>
          <w:p w14:paraId="032EF846" w14:textId="4F7416AB" w:rsidR="008078E3" w:rsidRPr="0018145A" w:rsidRDefault="008078E3" w:rsidP="008078E3">
            <w:pPr>
              <w:pStyle w:val="TableBodyText"/>
              <w:widowControl w:val="0"/>
              <w:numPr>
                <w:ilvl w:val="2"/>
                <w:numId w:val="40"/>
              </w:numPr>
            </w:pPr>
            <w:r w:rsidRPr="0018145A">
              <w:t>the project</w:t>
            </w:r>
            <w:r w:rsidR="00282599">
              <w:t>,</w:t>
            </w:r>
            <w:r w:rsidRPr="0018145A">
              <w:t xml:space="preserve"> the subject of this Tender</w:t>
            </w:r>
          </w:p>
          <w:p w14:paraId="3BF73640" w14:textId="07CC6B02" w:rsidR="008078E3" w:rsidRPr="0018145A" w:rsidRDefault="008078E3" w:rsidP="008078E3">
            <w:pPr>
              <w:pStyle w:val="TableBodyText"/>
              <w:widowControl w:val="0"/>
              <w:numPr>
                <w:ilvl w:val="2"/>
                <w:numId w:val="40"/>
              </w:numPr>
            </w:pPr>
            <w:r w:rsidRPr="0018145A">
              <w:t xml:space="preserve">any privately and publicly funded building and construction </w:t>
            </w:r>
            <w:r w:rsidR="00282599">
              <w:t>W</w:t>
            </w:r>
            <w:r w:rsidRPr="0018145A">
              <w:t xml:space="preserve">ork to which the Queensland </w:t>
            </w:r>
            <w:r w:rsidR="0087558B">
              <w:t>Code applies</w:t>
            </w:r>
            <w:r w:rsidRPr="0018145A">
              <w:t xml:space="preserve">, on and from the date of submitting this expression of interest or </w:t>
            </w:r>
            <w:r w:rsidR="00282599">
              <w:t>T</w:t>
            </w:r>
            <w:r w:rsidRPr="0018145A">
              <w:t>ender response</w:t>
            </w:r>
            <w:r w:rsidR="00282599">
              <w:t> </w:t>
            </w:r>
            <w:r w:rsidRPr="0018145A">
              <w:t>(if not already required to comply on such privatel</w:t>
            </w:r>
            <w:r w:rsidR="00BA36A9">
              <w:t>y and publicly funded projects)</w:t>
            </w:r>
          </w:p>
          <w:p w14:paraId="15E8FE29" w14:textId="5B96A1B7" w:rsidR="008078E3" w:rsidRPr="0018145A" w:rsidRDefault="008078E3" w:rsidP="008078E3">
            <w:pPr>
              <w:pStyle w:val="TableBodyText"/>
              <w:widowControl w:val="0"/>
              <w:numPr>
                <w:ilvl w:val="1"/>
                <w:numId w:val="40"/>
              </w:numPr>
            </w:pPr>
            <w:r w:rsidRPr="0018145A">
              <w:t>confirms that it and its relat</w:t>
            </w:r>
            <w:r w:rsidR="00BA36A9">
              <w:t>ed entities have complied with:</w:t>
            </w:r>
          </w:p>
          <w:p w14:paraId="266B2B43" w14:textId="77777777" w:rsidR="008078E3" w:rsidRPr="0018145A" w:rsidRDefault="008078E3" w:rsidP="008078E3">
            <w:pPr>
              <w:pStyle w:val="TableBodyText"/>
              <w:widowControl w:val="0"/>
              <w:numPr>
                <w:ilvl w:val="2"/>
                <w:numId w:val="40"/>
              </w:numPr>
            </w:pPr>
            <w:r w:rsidRPr="0018145A">
              <w:t xml:space="preserve">the Queensland Code on all its other projects to which the Queensland </w:t>
            </w:r>
            <w:r w:rsidR="0087558B">
              <w:t>Code applies or has been</w:t>
            </w:r>
            <w:r w:rsidRPr="0018145A">
              <w:t xml:space="preserve"> applied</w:t>
            </w:r>
          </w:p>
          <w:p w14:paraId="78675DF0" w14:textId="77777777" w:rsidR="008078E3" w:rsidRPr="0018145A" w:rsidRDefault="008078E3" w:rsidP="008078E3">
            <w:pPr>
              <w:pStyle w:val="TableBodyText"/>
              <w:widowControl w:val="0"/>
              <w:numPr>
                <w:ilvl w:val="2"/>
                <w:numId w:val="40"/>
              </w:numPr>
            </w:pPr>
            <w:r w:rsidRPr="0018145A">
              <w:t xml:space="preserve">all applicable legislation, </w:t>
            </w:r>
            <w:r w:rsidR="00F517F4">
              <w:t>C</w:t>
            </w:r>
            <w:r w:rsidRPr="0018145A">
              <w:t xml:space="preserve">ourt and </w:t>
            </w:r>
            <w:r w:rsidR="00F517F4">
              <w:t>T</w:t>
            </w:r>
            <w:r w:rsidRPr="0018145A">
              <w:t>ribunal orders, directions and decisions, and industrial instruments</w:t>
            </w:r>
          </w:p>
          <w:p w14:paraId="7991EE67" w14:textId="114CEBA7" w:rsidR="008078E3" w:rsidRPr="001A188E" w:rsidRDefault="008078E3" w:rsidP="008078E3">
            <w:pPr>
              <w:pStyle w:val="TableBodyText"/>
              <w:widowControl w:val="0"/>
              <w:numPr>
                <w:ilvl w:val="1"/>
                <w:numId w:val="40"/>
              </w:numPr>
            </w:pPr>
            <w:r w:rsidRPr="0018145A">
              <w:t>confirm</w:t>
            </w:r>
            <w:r w:rsidR="00282599">
              <w:t>s</w:t>
            </w:r>
            <w:r w:rsidRPr="0018145A">
              <w:t xml:space="preserve"> that neither it, nor any of its related entities, are subject to a sanction or other </w:t>
            </w:r>
            <w:r w:rsidRPr="001A188E">
              <w:t xml:space="preserve">circumstance that would preclude the Tenderer from submitting an expression of interest or </w:t>
            </w:r>
            <w:r w:rsidR="00282599" w:rsidRPr="001A188E">
              <w:t>T</w:t>
            </w:r>
            <w:r w:rsidRPr="001A188E">
              <w:t>ender response</w:t>
            </w:r>
            <w:r w:rsidR="00282599" w:rsidRPr="001A188E">
              <w:t xml:space="preserve"> </w:t>
            </w:r>
            <w:r w:rsidRPr="001A188E">
              <w:t>or, if successful, being awarded the Tender.</w:t>
            </w:r>
          </w:p>
          <w:p w14:paraId="6E73E698" w14:textId="486E2DC6" w:rsidR="008078E3" w:rsidRPr="001A188E" w:rsidRDefault="008078E3" w:rsidP="008078E3">
            <w:pPr>
              <w:pStyle w:val="TableBodyText"/>
              <w:widowControl w:val="0"/>
              <w:rPr>
                <w:b/>
              </w:rPr>
            </w:pPr>
            <w:r w:rsidRPr="001A188E">
              <w:rPr>
                <w:b/>
              </w:rPr>
              <w:t xml:space="preserve">Sanctions for </w:t>
            </w:r>
            <w:r w:rsidR="00F517F4" w:rsidRPr="001A188E">
              <w:rPr>
                <w:b/>
              </w:rPr>
              <w:t>n</w:t>
            </w:r>
            <w:r w:rsidRPr="001A188E">
              <w:rPr>
                <w:b/>
              </w:rPr>
              <w:t>on</w:t>
            </w:r>
            <w:r w:rsidR="00282599" w:rsidRPr="001A188E">
              <w:rPr>
                <w:b/>
              </w:rPr>
              <w:noBreakHyphen/>
            </w:r>
            <w:r w:rsidR="00F517F4" w:rsidRPr="001A188E">
              <w:rPr>
                <w:b/>
              </w:rPr>
              <w:t>c</w:t>
            </w:r>
            <w:r w:rsidRPr="001A188E">
              <w:rPr>
                <w:b/>
              </w:rPr>
              <w:t>ompliance</w:t>
            </w:r>
          </w:p>
          <w:p w14:paraId="6F6234C0" w14:textId="77777777" w:rsidR="008078E3" w:rsidRPr="001A188E" w:rsidRDefault="008078E3" w:rsidP="0021084E">
            <w:pPr>
              <w:pStyle w:val="TableBodyText"/>
              <w:widowControl w:val="0"/>
              <w:numPr>
                <w:ilvl w:val="0"/>
                <w:numId w:val="42"/>
              </w:numPr>
              <w:tabs>
                <w:tab w:val="clear" w:pos="720"/>
                <w:tab w:val="num" w:pos="1055"/>
              </w:tabs>
              <w:ind w:left="1055" w:hanging="695"/>
            </w:pPr>
            <w:r w:rsidRPr="001A188E">
              <w:t>The Tenderer acknowledges that where it, or a related entity, fails to comply with the Queensland Code, a sanction may be imposed on the Tenderer or its related entity or both.</w:t>
            </w:r>
            <w:r w:rsidR="00870878" w:rsidRPr="001A188E">
              <w:t xml:space="preserve"> </w:t>
            </w:r>
            <w:r w:rsidRPr="001A188E">
              <w:t>The sanctions that can be imposed include, but are not limited to</w:t>
            </w:r>
            <w:r w:rsidR="008F2753" w:rsidRPr="001A188E">
              <w:t>, one or more of the following:</w:t>
            </w:r>
          </w:p>
          <w:p w14:paraId="258E9A5F" w14:textId="3516DAB9" w:rsidR="008078E3" w:rsidRPr="001A188E" w:rsidRDefault="008078E3" w:rsidP="008078E3">
            <w:pPr>
              <w:pStyle w:val="TableBodyText"/>
              <w:widowControl w:val="0"/>
              <w:numPr>
                <w:ilvl w:val="1"/>
                <w:numId w:val="42"/>
              </w:numPr>
            </w:pPr>
            <w:r w:rsidRPr="001A188E">
              <w:t>a formal warning that a further breac</w:t>
            </w:r>
            <w:r w:rsidR="00BA36A9" w:rsidRPr="001A188E">
              <w:t>h will lead to severe sanctions</w:t>
            </w:r>
          </w:p>
          <w:p w14:paraId="6AC4E249" w14:textId="17D630CB" w:rsidR="008078E3" w:rsidRPr="0018145A" w:rsidRDefault="008078E3" w:rsidP="008078E3">
            <w:pPr>
              <w:pStyle w:val="TableBodyText"/>
              <w:widowControl w:val="0"/>
              <w:numPr>
                <w:ilvl w:val="1"/>
                <w:numId w:val="42"/>
              </w:numPr>
            </w:pPr>
            <w:r w:rsidRPr="001A188E">
              <w:t>referral of a complaint to the relevant industry organisation for assessment against its own professiona</w:t>
            </w:r>
            <w:r w:rsidRPr="0018145A">
              <w:t>l code of</w:t>
            </w:r>
            <w:r w:rsidR="00BA36A9">
              <w:t xml:space="preserve"> conduct and appropriate action</w:t>
            </w:r>
          </w:p>
          <w:p w14:paraId="1E29F811" w14:textId="6AB83F28" w:rsidR="008078E3" w:rsidRPr="0018145A" w:rsidRDefault="008078E3" w:rsidP="008078E3">
            <w:pPr>
              <w:pStyle w:val="TableBodyText"/>
              <w:widowControl w:val="0"/>
              <w:numPr>
                <w:ilvl w:val="1"/>
                <w:numId w:val="42"/>
              </w:numPr>
            </w:pPr>
            <w:r w:rsidRPr="0018145A">
              <w:t xml:space="preserve">reduction in </w:t>
            </w:r>
            <w:r w:rsidR="001A188E">
              <w:t>T</w:t>
            </w:r>
            <w:r w:rsidRPr="0018145A">
              <w:t>endering opportunities at either agency or government</w:t>
            </w:r>
            <w:r w:rsidR="001A188E">
              <w:noBreakHyphen/>
            </w:r>
            <w:r w:rsidRPr="0018145A">
              <w:t xml:space="preserve">wide level, for example, by exclusion of the breaching party from </w:t>
            </w:r>
            <w:r w:rsidR="001A188E">
              <w:t>T</w:t>
            </w:r>
            <w:r w:rsidRPr="0018145A">
              <w:t>endering for government work above a certain value, or for a specified period</w:t>
            </w:r>
          </w:p>
          <w:p w14:paraId="4B1E6D3B" w14:textId="77777777" w:rsidR="008078E3" w:rsidRPr="0018145A" w:rsidRDefault="008078E3" w:rsidP="008078E3">
            <w:pPr>
              <w:pStyle w:val="TableBodyText"/>
              <w:widowControl w:val="0"/>
              <w:numPr>
                <w:ilvl w:val="1"/>
                <w:numId w:val="42"/>
              </w:numPr>
            </w:pPr>
            <w:r w:rsidRPr="0018145A">
              <w:t>reporting the breach to an appropriate statutory body</w:t>
            </w:r>
          </w:p>
          <w:p w14:paraId="69514E17" w14:textId="6FCD25F1" w:rsidR="008078E3" w:rsidRPr="0018145A" w:rsidRDefault="001A188E" w:rsidP="008078E3">
            <w:pPr>
              <w:pStyle w:val="TableBodyText"/>
              <w:widowControl w:val="0"/>
              <w:numPr>
                <w:ilvl w:val="1"/>
                <w:numId w:val="42"/>
              </w:numPr>
            </w:pPr>
            <w:r>
              <w:t>publishing</w:t>
            </w:r>
            <w:r w:rsidRPr="0018145A">
              <w:t xml:space="preserve"> </w:t>
            </w:r>
            <w:r w:rsidR="008078E3" w:rsidRPr="0018145A">
              <w:t xml:space="preserve">the breach and </w:t>
            </w:r>
            <w:r>
              <w:t xml:space="preserve">identifying </w:t>
            </w:r>
            <w:r w:rsidR="008078E3" w:rsidRPr="0018145A">
              <w:t>the party</w:t>
            </w:r>
            <w:r w:rsidR="008078E3" w:rsidRPr="0018145A">
              <w:t>.</w:t>
            </w:r>
          </w:p>
          <w:p w14:paraId="6F2DCA81" w14:textId="77777777" w:rsidR="008078E3" w:rsidRPr="0018145A" w:rsidRDefault="008078E3" w:rsidP="0082649D">
            <w:pPr>
              <w:pStyle w:val="TableBodyText"/>
              <w:keepNext/>
              <w:keepLines/>
              <w:widowControl w:val="0"/>
              <w:rPr>
                <w:b/>
              </w:rPr>
            </w:pPr>
            <w:r w:rsidRPr="0018145A">
              <w:rPr>
                <w:b/>
              </w:rPr>
              <w:lastRenderedPageBreak/>
              <w:t xml:space="preserve">Disclosure of </w:t>
            </w:r>
            <w:r w:rsidR="00F517F4">
              <w:rPr>
                <w:b/>
              </w:rPr>
              <w:t>i</w:t>
            </w:r>
            <w:r w:rsidRPr="0018145A">
              <w:rPr>
                <w:b/>
              </w:rPr>
              <w:t>nformation</w:t>
            </w:r>
          </w:p>
          <w:p w14:paraId="4ABEA442" w14:textId="007DFBFD" w:rsidR="008078E3" w:rsidRPr="0018145A" w:rsidRDefault="008078E3" w:rsidP="0082649D">
            <w:pPr>
              <w:pStyle w:val="TableBodyText"/>
              <w:keepNext/>
              <w:keepLines/>
              <w:widowControl w:val="0"/>
              <w:numPr>
                <w:ilvl w:val="0"/>
                <w:numId w:val="43"/>
              </w:numPr>
              <w:tabs>
                <w:tab w:val="clear" w:pos="720"/>
                <w:tab w:val="num" w:pos="1055"/>
              </w:tabs>
              <w:ind w:left="1054" w:hanging="697"/>
            </w:pPr>
            <w:r w:rsidRPr="0018145A">
              <w:t>The Tenderer agrees and gives its consent</w:t>
            </w:r>
            <w:r w:rsidR="00263235">
              <w:t> </w:t>
            </w:r>
            <w:r w:rsidRPr="0018145A">
              <w:t>(or reaffirms its consent), and confirms that its related entities agree and give their consent</w:t>
            </w:r>
            <w:r w:rsidR="00263235">
              <w:t> </w:t>
            </w:r>
            <w:r w:rsidRPr="0018145A">
              <w:t xml:space="preserve">(or reaffirm their consent), to the disclosure of information concerning the Tenderer's and the Tenderer's related entities' compliance with the Queensland Code, and including disclosure of details of past conduct and whether or not sanctions have been imposed on a </w:t>
            </w:r>
            <w:r w:rsidR="00263235">
              <w:t>T</w:t>
            </w:r>
            <w:r w:rsidRPr="0018145A">
              <w:t>enderer or its related entities.</w:t>
            </w:r>
          </w:p>
          <w:p w14:paraId="0EB05950" w14:textId="5EA507BB" w:rsidR="008078E3" w:rsidRPr="0018145A" w:rsidRDefault="008078E3" w:rsidP="00263235">
            <w:pPr>
              <w:pStyle w:val="TableBodyText"/>
              <w:keepNext/>
              <w:keepLines/>
              <w:numPr>
                <w:ilvl w:val="0"/>
                <w:numId w:val="44"/>
              </w:numPr>
              <w:tabs>
                <w:tab w:val="clear" w:pos="720"/>
              </w:tabs>
              <w:ind w:left="1054" w:hanging="697"/>
            </w:pPr>
            <w:r w:rsidRPr="0018145A">
              <w:t>The Tenderer confirms that it has obtained, or will obtain, the consent of each subcontractor or consultant it proposes to use on the project, or that it will use</w:t>
            </w:r>
            <w:r w:rsidR="00263235">
              <w:t>,</w:t>
            </w:r>
            <w:r w:rsidRPr="0018145A">
              <w:t xml:space="preserve"> if successful in the Tender, to the disclosure of information concerning the subcontractor's and consultant's compliance with the Queensland Code, </w:t>
            </w:r>
            <w:r w:rsidR="0082649D">
              <w:t>and</w:t>
            </w:r>
            <w:r w:rsidRPr="0018145A">
              <w:t xml:space="preserve"> Federal Code</w:t>
            </w:r>
            <w:r w:rsidR="00263235">
              <w:t>,</w:t>
            </w:r>
            <w:r w:rsidRPr="0018145A">
              <w:t xml:space="preserve"> including disclosure of details of past conduct and whether or not sanctions have been imposed on the subcontractor or consultant or its related entities.</w:t>
            </w:r>
          </w:p>
          <w:p w14:paraId="1E5F03AB" w14:textId="6C3C38AC" w:rsidR="008078E3" w:rsidRPr="0018145A" w:rsidRDefault="008078E3" w:rsidP="0021084E">
            <w:pPr>
              <w:pStyle w:val="TableBodyText"/>
              <w:widowControl w:val="0"/>
              <w:numPr>
                <w:ilvl w:val="0"/>
                <w:numId w:val="45"/>
              </w:numPr>
              <w:tabs>
                <w:tab w:val="clear" w:pos="720"/>
              </w:tabs>
              <w:ind w:left="1055" w:hanging="695"/>
            </w:pPr>
            <w:r w:rsidRPr="0018145A">
              <w:t>The consent</w:t>
            </w:r>
            <w:r w:rsidR="00263235">
              <w:t> </w:t>
            </w:r>
            <w:r w:rsidRPr="0018145A">
              <w:t>(or reaffirmation of consent) by the Tenderer, its related entities and any proposed or subsequent subcontractors, is given to the State of Queensland, its agencies</w:t>
            </w:r>
            <w:r w:rsidR="00282599">
              <w:t xml:space="preserve"> and </w:t>
            </w:r>
            <w:r w:rsidRPr="0018145A">
              <w:t>Ministers</w:t>
            </w:r>
            <w:r w:rsidR="00282599">
              <w:t>,</w:t>
            </w:r>
          </w:p>
          <w:p w14:paraId="3E1C740A" w14:textId="77777777" w:rsidR="008078E3" w:rsidRPr="0018145A" w:rsidRDefault="008078E3" w:rsidP="008078E3">
            <w:pPr>
              <w:pStyle w:val="TableBodyText"/>
              <w:widowControl w:val="0"/>
              <w:numPr>
                <w:ilvl w:val="1"/>
                <w:numId w:val="45"/>
              </w:numPr>
            </w:pPr>
            <w:r w:rsidRPr="0018145A">
              <w:t>the exercise of their statutory or portfolio responsibilities</w:t>
            </w:r>
          </w:p>
          <w:p w14:paraId="649C70F5" w14:textId="027D477D" w:rsidR="008078E3" w:rsidRPr="0018145A" w:rsidRDefault="008078E3" w:rsidP="008078E3">
            <w:pPr>
              <w:pStyle w:val="TableBodyText"/>
              <w:widowControl w:val="0"/>
              <w:numPr>
                <w:ilvl w:val="1"/>
                <w:numId w:val="45"/>
              </w:numPr>
            </w:pPr>
            <w:r w:rsidRPr="0018145A">
              <w:t>investigating and checking claims and assertions made by the Tenderer in any documents provided as part of its expression</w:t>
            </w:r>
            <w:r w:rsidR="00E63F84">
              <w:t xml:space="preserve"> of interest or </w:t>
            </w:r>
            <w:r w:rsidR="00CE0F26">
              <w:t>T</w:t>
            </w:r>
            <w:r w:rsidR="00E63F84">
              <w:t>ender response</w:t>
            </w:r>
          </w:p>
          <w:p w14:paraId="60A6523A" w14:textId="1F969B3B" w:rsidR="008078E3" w:rsidRPr="0018145A" w:rsidRDefault="008078E3" w:rsidP="008078E3">
            <w:pPr>
              <w:pStyle w:val="TableBodyText"/>
              <w:widowControl w:val="0"/>
              <w:numPr>
                <w:ilvl w:val="1"/>
                <w:numId w:val="45"/>
              </w:numPr>
            </w:pPr>
            <w:r w:rsidRPr="0018145A">
              <w:t>monitoring, investigating and enforcing the Queensland Code</w:t>
            </w:r>
            <w:r w:rsidR="00E63F84">
              <w:t>, and</w:t>
            </w:r>
          </w:p>
          <w:p w14:paraId="67AD5223" w14:textId="47BB95C4" w:rsidR="008078E3" w:rsidRPr="0018145A" w:rsidRDefault="008078E3" w:rsidP="008078E3">
            <w:pPr>
              <w:pStyle w:val="TableBodyText"/>
              <w:widowControl w:val="0"/>
              <w:numPr>
                <w:ilvl w:val="1"/>
                <w:numId w:val="45"/>
              </w:numPr>
            </w:pPr>
            <w:r w:rsidRPr="0018145A">
              <w:t>ensuring, facilitating and promoting comp</w:t>
            </w:r>
            <w:r w:rsidR="00E63F84">
              <w:t>liance with the Queensland Code.</w:t>
            </w:r>
          </w:p>
          <w:p w14:paraId="7F34E519" w14:textId="14BCBBBB" w:rsidR="008078E3" w:rsidRDefault="008078E3" w:rsidP="0021084E">
            <w:pPr>
              <w:pStyle w:val="TableBodyText"/>
              <w:widowControl w:val="0"/>
              <w:numPr>
                <w:ilvl w:val="0"/>
                <w:numId w:val="46"/>
              </w:numPr>
              <w:tabs>
                <w:tab w:val="clear" w:pos="720"/>
                <w:tab w:val="num" w:pos="1055"/>
              </w:tabs>
              <w:ind w:left="1055" w:hanging="695"/>
            </w:pPr>
            <w:r w:rsidRPr="0018145A">
              <w:t>The Tenderer acknowledges that this consent is not limited to this Tender, or this project, as parties are expected to comply with the Queensland Code on future projects to which they apply.</w:t>
            </w:r>
          </w:p>
          <w:p w14:paraId="2B45EEDD" w14:textId="77777777" w:rsidR="008078E3" w:rsidRPr="0018145A" w:rsidRDefault="008078E3" w:rsidP="008078E3">
            <w:pPr>
              <w:pStyle w:val="TableBodyText"/>
              <w:widowControl w:val="0"/>
              <w:rPr>
                <w:rStyle w:val="BodyTextbold"/>
              </w:rPr>
            </w:pPr>
            <w:r w:rsidRPr="0018145A">
              <w:rPr>
                <w:rStyle w:val="BodyTextbold"/>
              </w:rPr>
              <w:t xml:space="preserve">Positive </w:t>
            </w:r>
            <w:r w:rsidR="00F517F4">
              <w:rPr>
                <w:rStyle w:val="BodyTextbold"/>
              </w:rPr>
              <w:t>o</w:t>
            </w:r>
            <w:r w:rsidRPr="0018145A">
              <w:rPr>
                <w:rStyle w:val="BodyTextbold"/>
              </w:rPr>
              <w:t>bligations</w:t>
            </w:r>
          </w:p>
          <w:p w14:paraId="34E954A6" w14:textId="1788901B" w:rsidR="008078E3" w:rsidRDefault="008078E3" w:rsidP="0021084E">
            <w:pPr>
              <w:pStyle w:val="TableBodyText"/>
              <w:widowControl w:val="0"/>
              <w:numPr>
                <w:ilvl w:val="0"/>
                <w:numId w:val="47"/>
              </w:numPr>
              <w:tabs>
                <w:tab w:val="clear" w:pos="720"/>
                <w:tab w:val="num" w:pos="1055"/>
              </w:tabs>
              <w:ind w:left="1055" w:hanging="695"/>
            </w:pPr>
            <w:r>
              <w:t xml:space="preserve">Without limiting the obligations and requirements in the Queensland </w:t>
            </w:r>
            <w:r w:rsidR="00032FFF">
              <w:t>Code</w:t>
            </w:r>
            <w:r>
              <w:t>, the Tenderer acknowledges and undertakes to comply with its positive obligations under the Queensland Code</w:t>
            </w:r>
            <w:r w:rsidR="00032FFF">
              <w:t>, including to:</w:t>
            </w:r>
          </w:p>
          <w:p w14:paraId="0BC5012D" w14:textId="77777777" w:rsidR="008078E3" w:rsidRDefault="008078E3" w:rsidP="008078E3">
            <w:pPr>
              <w:pStyle w:val="TableBodyText"/>
              <w:widowControl w:val="0"/>
              <w:numPr>
                <w:ilvl w:val="1"/>
                <w:numId w:val="47"/>
              </w:numPr>
            </w:pPr>
            <w:r>
              <w:t>allow Queensland Government authorised personnel to:</w:t>
            </w:r>
          </w:p>
          <w:p w14:paraId="1FCADD5D" w14:textId="6A0F2981" w:rsidR="008078E3" w:rsidRDefault="008078E3" w:rsidP="008078E3">
            <w:pPr>
              <w:pStyle w:val="TableBodyText"/>
              <w:widowControl w:val="0"/>
              <w:numPr>
                <w:ilvl w:val="2"/>
                <w:numId w:val="47"/>
              </w:numPr>
            </w:pPr>
            <w:r>
              <w:t xml:space="preserve">access the project </w:t>
            </w:r>
            <w:r w:rsidR="00263235">
              <w:t>s</w:t>
            </w:r>
            <w:r>
              <w:t>ite and other premises</w:t>
            </w:r>
          </w:p>
          <w:p w14:paraId="449AED3C" w14:textId="22EA311D" w:rsidR="008078E3" w:rsidRDefault="008078E3" w:rsidP="008078E3">
            <w:pPr>
              <w:pStyle w:val="TableBodyText"/>
              <w:widowControl w:val="0"/>
              <w:numPr>
                <w:ilvl w:val="2"/>
                <w:numId w:val="47"/>
              </w:numPr>
            </w:pPr>
            <w:r>
              <w:t>monitor and investigate comp</w:t>
            </w:r>
            <w:r w:rsidR="00032FFF">
              <w:t>liance with the Queensland Code</w:t>
            </w:r>
          </w:p>
          <w:p w14:paraId="068BF656" w14:textId="312E394A" w:rsidR="008078E3" w:rsidRDefault="008078E3" w:rsidP="008078E3">
            <w:pPr>
              <w:pStyle w:val="TableBodyText"/>
              <w:widowControl w:val="0"/>
              <w:numPr>
                <w:ilvl w:val="2"/>
                <w:numId w:val="47"/>
              </w:numPr>
            </w:pPr>
            <w:r>
              <w:t xml:space="preserve">inspect any </w:t>
            </w:r>
            <w:r w:rsidR="00CE0F26">
              <w:t>W</w:t>
            </w:r>
            <w:r>
              <w:t xml:space="preserve">ork, material, machinery, </w:t>
            </w:r>
            <w:r w:rsidR="00032FFF">
              <w:t>appliance, article, or facility</w:t>
            </w:r>
          </w:p>
          <w:p w14:paraId="4275E50F" w14:textId="6A28E953" w:rsidR="008078E3" w:rsidRDefault="008078E3" w:rsidP="008078E3">
            <w:pPr>
              <w:pStyle w:val="TableBodyText"/>
              <w:widowControl w:val="0"/>
              <w:numPr>
                <w:ilvl w:val="2"/>
                <w:numId w:val="47"/>
              </w:numPr>
            </w:pPr>
            <w:r>
              <w:t>inspect and copy any record relevant to the project</w:t>
            </w:r>
            <w:r w:rsidR="00263235">
              <w:t>, and</w:t>
            </w:r>
          </w:p>
          <w:p w14:paraId="3FE1438C" w14:textId="77777777" w:rsidR="008078E3" w:rsidRDefault="008078E3" w:rsidP="008078E3">
            <w:pPr>
              <w:pStyle w:val="TableBodyText"/>
              <w:widowControl w:val="0"/>
              <w:numPr>
                <w:ilvl w:val="2"/>
                <w:numId w:val="47"/>
              </w:numPr>
            </w:pPr>
            <w:r>
              <w:t>interview any person</w:t>
            </w:r>
          </w:p>
          <w:p w14:paraId="3FE91632" w14:textId="6FCDEC91" w:rsidR="008078E3" w:rsidRDefault="008078E3" w:rsidP="000764A0">
            <w:pPr>
              <w:pStyle w:val="TableBodyText"/>
              <w:widowControl w:val="0"/>
              <w:ind w:left="1202"/>
            </w:pPr>
            <w:r>
              <w:t>as is necessary to demonstrate compliance with the Queensland Code</w:t>
            </w:r>
          </w:p>
          <w:p w14:paraId="6C0548D0" w14:textId="61A8C839" w:rsidR="008078E3" w:rsidRDefault="008078E3" w:rsidP="008078E3">
            <w:pPr>
              <w:pStyle w:val="TableBodyText"/>
              <w:widowControl w:val="0"/>
              <w:numPr>
                <w:ilvl w:val="1"/>
                <w:numId w:val="47"/>
              </w:numPr>
            </w:pPr>
            <w:r>
              <w:t>notify the Client Agency of any alleged breaches of the Queensland Code and of voluntary r</w:t>
            </w:r>
            <w:r w:rsidR="00DF54D6">
              <w:t>emedial action taken, within 24 </w:t>
            </w:r>
            <w:r>
              <w:t>hours of becom</w:t>
            </w:r>
            <w:r w:rsidR="00DF54D6">
              <w:t>ing aware of the alleged breach</w:t>
            </w:r>
          </w:p>
          <w:p w14:paraId="75DA040D" w14:textId="5B3B7663" w:rsidR="008078E3" w:rsidRDefault="008078E3" w:rsidP="00B52A32">
            <w:pPr>
              <w:pStyle w:val="TableBodyText"/>
              <w:numPr>
                <w:ilvl w:val="1"/>
                <w:numId w:val="47"/>
              </w:numPr>
            </w:pPr>
            <w:r>
              <w:t xml:space="preserve">(for </w:t>
            </w:r>
            <w:r w:rsidR="00263235">
              <w:t>P</w:t>
            </w:r>
            <w:r>
              <w:t xml:space="preserve">rincipal contractors only) report any grievance or dispute relating to workplace relations or Workplace Health </w:t>
            </w:r>
            <w:r w:rsidR="00263235">
              <w:t>and</w:t>
            </w:r>
            <w:r>
              <w:t xml:space="preserve"> Safety (WH&amp;S) matters</w:t>
            </w:r>
            <w:r w:rsidR="00263235">
              <w:t>,</w:t>
            </w:r>
            <w:r>
              <w:t xml:space="preserve"> that may impact on project costs, related </w:t>
            </w:r>
            <w:r w:rsidR="00263235">
              <w:t>C</w:t>
            </w:r>
            <w:r>
              <w:t xml:space="preserve">ontracts or timelines to </w:t>
            </w:r>
            <w:r w:rsidR="00282599">
              <w:t>the</w:t>
            </w:r>
            <w:r>
              <w:t xml:space="preserve"> Client Agency wit</w:t>
            </w:r>
            <w:r w:rsidR="00BA36A9">
              <w:t>hin 24 </w:t>
            </w:r>
            <w:r>
              <w:t>hours of becoming aware of the grievance or dispute and to provide regular upda</w:t>
            </w:r>
            <w:r w:rsidR="00DF54D6">
              <w:t>tes on the grievance or dispute</w:t>
            </w:r>
          </w:p>
          <w:p w14:paraId="47DA4DAD" w14:textId="23E4D3C8" w:rsidR="008078E3" w:rsidRDefault="008078E3" w:rsidP="006262C1">
            <w:pPr>
              <w:pStyle w:val="TableBodyText"/>
              <w:keepNext/>
              <w:keepLines/>
              <w:pageBreakBefore/>
              <w:numPr>
                <w:ilvl w:val="1"/>
                <w:numId w:val="47"/>
              </w:numPr>
            </w:pPr>
            <w:r>
              <w:t xml:space="preserve">report any threatened or actual industrial action that may impact the project, project costs, related </w:t>
            </w:r>
            <w:r w:rsidR="00263235">
              <w:t>C</w:t>
            </w:r>
            <w:r>
              <w:t xml:space="preserve">ontracts or timelines to the Client Agency </w:t>
            </w:r>
            <w:r w:rsidR="00DF54D6">
              <w:t>within 24 </w:t>
            </w:r>
            <w:r>
              <w:t>hours and provide regular updates about the steps being taken to resolve the threate</w:t>
            </w:r>
            <w:r w:rsidR="00DF54D6">
              <w:t>ned or actual industrial action</w:t>
            </w:r>
          </w:p>
          <w:p w14:paraId="1CE2AF81" w14:textId="57B4DC62" w:rsidR="008078E3" w:rsidRDefault="008078E3" w:rsidP="00BA36A9">
            <w:pPr>
              <w:pStyle w:val="TableBodyText"/>
              <w:keepNext/>
              <w:keepLines/>
              <w:widowControl w:val="0"/>
              <w:numPr>
                <w:ilvl w:val="1"/>
                <w:numId w:val="47"/>
              </w:numPr>
            </w:pPr>
            <w:r>
              <w:lastRenderedPageBreak/>
              <w:t xml:space="preserve">take all steps reasonably available to prevent, or resolve, industrial action which adversely affects, or has the potential to adversely affect, the delivery of the project or other related </w:t>
            </w:r>
            <w:r w:rsidR="00AB20E7">
              <w:t>C</w:t>
            </w:r>
            <w:r>
              <w:t>ontracts on time and within budget</w:t>
            </w:r>
          </w:p>
          <w:p w14:paraId="3F73B08B" w14:textId="16031222" w:rsidR="008078E3" w:rsidRDefault="008078E3" w:rsidP="008078E3">
            <w:pPr>
              <w:pStyle w:val="TableBodyText"/>
              <w:widowControl w:val="0"/>
              <w:numPr>
                <w:ilvl w:val="1"/>
                <w:numId w:val="47"/>
              </w:numPr>
            </w:pPr>
            <w:r>
              <w:t>take all reasonably available steps to prevent, or bring to an end, unprotected industrial action occurring on, or affecting the project, including by pursuing legal action where possible. Any such legal action must be conducted</w:t>
            </w:r>
            <w:r w:rsidR="00AB20E7">
              <w:t> </w:t>
            </w:r>
            <w:r>
              <w:t xml:space="preserve">(and where appropriate, concluded) in a manner consistent with the guiding principles and objectives of the Queensland </w:t>
            </w:r>
            <w:r w:rsidR="00DF54D6">
              <w:t>Code</w:t>
            </w:r>
            <w:r>
              <w:t>, namely supporting outcomes of compliance with the law, productivity in delivering the project on time and within budget, maintaining a high standard of safety and pro</w:t>
            </w:r>
            <w:r w:rsidR="00BA36A9">
              <w:t>tecting freedom of association.</w:t>
            </w:r>
          </w:p>
          <w:p w14:paraId="5448A5AD" w14:textId="4C880A42" w:rsidR="008078E3" w:rsidRDefault="008078E3" w:rsidP="0021084E">
            <w:pPr>
              <w:pStyle w:val="TableBodyText"/>
              <w:widowControl w:val="0"/>
              <w:numPr>
                <w:ilvl w:val="0"/>
                <w:numId w:val="48"/>
              </w:numPr>
              <w:tabs>
                <w:tab w:val="clear" w:pos="720"/>
                <w:tab w:val="num" w:pos="1055"/>
              </w:tabs>
              <w:ind w:left="1055" w:hanging="695"/>
            </w:pPr>
            <w:r>
              <w:t xml:space="preserve">Without limiting the obligations and requirements of the Queensland Code, the Tenderer acknowledges its obligation to ensure, through </w:t>
            </w:r>
            <w:r w:rsidR="00AB20E7">
              <w:t>C</w:t>
            </w:r>
            <w:r>
              <w:t>ontract, that subcontractors and consultants similarly do, or allow for, each of these applicable positive obligations.</w:t>
            </w:r>
          </w:p>
          <w:p w14:paraId="0208CE3F" w14:textId="4EBA2614" w:rsidR="008078E3" w:rsidRPr="0018145A" w:rsidRDefault="008078E3" w:rsidP="008078E3">
            <w:pPr>
              <w:pStyle w:val="TableBodyText"/>
              <w:widowControl w:val="0"/>
              <w:rPr>
                <w:b/>
              </w:rPr>
            </w:pPr>
            <w:r w:rsidRPr="0018145A">
              <w:rPr>
                <w:b/>
              </w:rPr>
              <w:t>Privately</w:t>
            </w:r>
            <w:r w:rsidR="00AB20E7">
              <w:rPr>
                <w:b/>
              </w:rPr>
              <w:noBreakHyphen/>
            </w:r>
            <w:r w:rsidR="0021084E">
              <w:rPr>
                <w:b/>
              </w:rPr>
              <w:t>f</w:t>
            </w:r>
            <w:r w:rsidRPr="0018145A">
              <w:rPr>
                <w:b/>
              </w:rPr>
              <w:t xml:space="preserve">unded </w:t>
            </w:r>
            <w:r w:rsidR="0021084E">
              <w:rPr>
                <w:b/>
              </w:rPr>
              <w:t>w</w:t>
            </w:r>
            <w:r w:rsidR="00BA36A9">
              <w:rPr>
                <w:b/>
              </w:rPr>
              <w:t>ork</w:t>
            </w:r>
          </w:p>
          <w:p w14:paraId="26DCE5AF" w14:textId="62D15E95" w:rsidR="008078E3" w:rsidRDefault="008078E3" w:rsidP="0021084E">
            <w:pPr>
              <w:pStyle w:val="TableBodyText"/>
              <w:widowControl w:val="0"/>
              <w:numPr>
                <w:ilvl w:val="0"/>
                <w:numId w:val="49"/>
              </w:numPr>
              <w:tabs>
                <w:tab w:val="clear" w:pos="720"/>
                <w:tab w:val="num" w:pos="1055"/>
              </w:tabs>
              <w:ind w:left="1055" w:hanging="695"/>
            </w:pPr>
            <w:r>
              <w:t>The Tenderer acknowledges and agrees that</w:t>
            </w:r>
            <w:r w:rsidR="00AB20E7">
              <w:t>,</w:t>
            </w:r>
            <w:r>
              <w:t xml:space="preserve"> in respect of its privately</w:t>
            </w:r>
            <w:r w:rsidR="00AB20E7">
              <w:noBreakHyphen/>
            </w:r>
            <w:r>
              <w:t xml:space="preserve">funded building and construction </w:t>
            </w:r>
            <w:r w:rsidR="00AB20E7">
              <w:t>W</w:t>
            </w:r>
            <w:r>
              <w:t>ork</w:t>
            </w:r>
            <w:r w:rsidR="00AB20E7">
              <w:t>,</w:t>
            </w:r>
            <w:r>
              <w:t xml:space="preserve"> it and its related entities, will:</w:t>
            </w:r>
          </w:p>
          <w:p w14:paraId="03643728" w14:textId="4B819C50" w:rsidR="008078E3" w:rsidRDefault="00DF54D6" w:rsidP="008078E3">
            <w:pPr>
              <w:pStyle w:val="TableBodyText"/>
              <w:widowControl w:val="0"/>
              <w:numPr>
                <w:ilvl w:val="1"/>
                <w:numId w:val="49"/>
              </w:numPr>
            </w:pPr>
            <w:r>
              <w:t>comply with the Queensland Code</w:t>
            </w:r>
          </w:p>
          <w:p w14:paraId="36A4B613" w14:textId="704D6D57" w:rsidR="008078E3" w:rsidRDefault="008078E3" w:rsidP="008078E3">
            <w:pPr>
              <w:pStyle w:val="TableBodyText"/>
              <w:widowControl w:val="0"/>
              <w:numPr>
                <w:ilvl w:val="1"/>
                <w:numId w:val="49"/>
              </w:numPr>
            </w:pPr>
            <w:r>
              <w:t>maintain adequate records of compliance with the Queensland Code</w:t>
            </w:r>
            <w:r w:rsidR="00AB20E7">
              <w:t> </w:t>
            </w:r>
            <w:r>
              <w:t xml:space="preserve">(including by </w:t>
            </w:r>
            <w:r w:rsidR="00AB20E7">
              <w:t>C</w:t>
            </w:r>
            <w:r>
              <w:t>ontractors)</w:t>
            </w:r>
          </w:p>
          <w:p w14:paraId="67E9C7BF" w14:textId="77777777" w:rsidR="008078E3" w:rsidRDefault="008078E3" w:rsidP="008078E3">
            <w:pPr>
              <w:pStyle w:val="TableBodyText"/>
              <w:widowControl w:val="0"/>
              <w:numPr>
                <w:ilvl w:val="1"/>
                <w:numId w:val="49"/>
              </w:numPr>
            </w:pPr>
            <w:r>
              <w:t>allow Queensland Government authorised personnel to:</w:t>
            </w:r>
          </w:p>
          <w:p w14:paraId="0EA0EA38" w14:textId="77777777" w:rsidR="008078E3" w:rsidRDefault="008078E3" w:rsidP="008078E3">
            <w:pPr>
              <w:pStyle w:val="TableBodyText"/>
              <w:widowControl w:val="0"/>
              <w:numPr>
                <w:ilvl w:val="2"/>
                <w:numId w:val="49"/>
              </w:numPr>
            </w:pPr>
            <w:r>
              <w:t xml:space="preserve">access the sites and premises </w:t>
            </w:r>
          </w:p>
          <w:p w14:paraId="4E46152C" w14:textId="76EAED7A" w:rsidR="008078E3" w:rsidRDefault="008078E3" w:rsidP="008078E3">
            <w:pPr>
              <w:pStyle w:val="TableBodyText"/>
              <w:widowControl w:val="0"/>
              <w:numPr>
                <w:ilvl w:val="2"/>
                <w:numId w:val="49"/>
              </w:numPr>
            </w:pPr>
            <w:r>
              <w:t>monitor and investigate comp</w:t>
            </w:r>
            <w:r w:rsidR="00DF54D6">
              <w:t>liance with the Queensland Code</w:t>
            </w:r>
          </w:p>
          <w:p w14:paraId="71A726FA" w14:textId="1D6FC9B8" w:rsidR="008078E3" w:rsidRDefault="008078E3" w:rsidP="008078E3">
            <w:pPr>
              <w:pStyle w:val="TableBodyText"/>
              <w:widowControl w:val="0"/>
              <w:numPr>
                <w:ilvl w:val="2"/>
                <w:numId w:val="49"/>
              </w:numPr>
            </w:pPr>
            <w:r>
              <w:t xml:space="preserve">inspect any </w:t>
            </w:r>
            <w:r w:rsidR="00CE0F26">
              <w:t>W</w:t>
            </w:r>
            <w:r>
              <w:t xml:space="preserve">ork, material, machinery, appliance, article, or facility </w:t>
            </w:r>
          </w:p>
          <w:p w14:paraId="348F3789" w14:textId="77777777" w:rsidR="008078E3" w:rsidRDefault="008078E3" w:rsidP="008078E3">
            <w:pPr>
              <w:pStyle w:val="TableBodyText"/>
              <w:widowControl w:val="0"/>
              <w:numPr>
                <w:ilvl w:val="2"/>
                <w:numId w:val="49"/>
              </w:numPr>
            </w:pPr>
            <w:r>
              <w:t>inspect and copy any record relevant to the project</w:t>
            </w:r>
          </w:p>
          <w:p w14:paraId="75526034" w14:textId="77777777" w:rsidR="008078E3" w:rsidRDefault="008078E3" w:rsidP="008078E3">
            <w:pPr>
              <w:pStyle w:val="TableBodyText"/>
              <w:widowControl w:val="0"/>
              <w:numPr>
                <w:ilvl w:val="2"/>
                <w:numId w:val="49"/>
              </w:numPr>
            </w:pPr>
            <w:r>
              <w:t>interview any person</w:t>
            </w:r>
          </w:p>
          <w:p w14:paraId="74419822" w14:textId="4528C9A4" w:rsidR="008078E3" w:rsidRDefault="008078E3" w:rsidP="000764A0">
            <w:pPr>
              <w:pStyle w:val="TableBodyText"/>
              <w:widowControl w:val="0"/>
              <w:ind w:left="1060"/>
            </w:pPr>
            <w:r>
              <w:t>as is necessary to demonstrate comp</w:t>
            </w:r>
            <w:r w:rsidR="003F3227">
              <w:t>liance with the Queensland Code</w:t>
            </w:r>
          </w:p>
          <w:p w14:paraId="13764A43" w14:textId="6BB909BB" w:rsidR="008078E3" w:rsidRDefault="008078E3" w:rsidP="008078E3">
            <w:pPr>
              <w:pStyle w:val="TableBodyText"/>
              <w:widowControl w:val="0"/>
              <w:numPr>
                <w:ilvl w:val="1"/>
                <w:numId w:val="49"/>
              </w:numPr>
            </w:pPr>
            <w:r>
              <w:t xml:space="preserve">ensure </w:t>
            </w:r>
            <w:r w:rsidR="00AB20E7">
              <w:t>C</w:t>
            </w:r>
            <w:r>
              <w:t>ontractors and consultants similarly do, or allow, for each of these obligations.</w:t>
            </w:r>
          </w:p>
          <w:p w14:paraId="3C0BB432" w14:textId="77777777" w:rsidR="008078E3" w:rsidRPr="0018145A" w:rsidRDefault="008078E3" w:rsidP="008078E3">
            <w:pPr>
              <w:pStyle w:val="TableBodyText"/>
              <w:widowControl w:val="0"/>
              <w:rPr>
                <w:b/>
              </w:rPr>
            </w:pPr>
            <w:r w:rsidRPr="0018145A">
              <w:rPr>
                <w:b/>
              </w:rPr>
              <w:t xml:space="preserve">Subcontractors and </w:t>
            </w:r>
            <w:r w:rsidR="0021084E">
              <w:rPr>
                <w:b/>
              </w:rPr>
              <w:t>c</w:t>
            </w:r>
            <w:r w:rsidRPr="0018145A">
              <w:rPr>
                <w:b/>
              </w:rPr>
              <w:t>onsultants</w:t>
            </w:r>
          </w:p>
          <w:p w14:paraId="280CC36C" w14:textId="25BDE243" w:rsidR="008078E3" w:rsidRPr="005620A7" w:rsidRDefault="008078E3" w:rsidP="0021084E">
            <w:pPr>
              <w:pStyle w:val="TableBodyText"/>
              <w:widowControl w:val="0"/>
              <w:numPr>
                <w:ilvl w:val="0"/>
                <w:numId w:val="50"/>
              </w:numPr>
              <w:tabs>
                <w:tab w:val="clear" w:pos="720"/>
                <w:tab w:val="num" w:pos="1197"/>
              </w:tabs>
              <w:ind w:left="1055" w:hanging="567"/>
            </w:pPr>
            <w:r w:rsidRPr="005620A7">
              <w:t xml:space="preserve">Where the Tenderer proposes to subcontract a part of the project </w:t>
            </w:r>
            <w:r w:rsidR="00AB20E7" w:rsidRPr="005620A7">
              <w:t>W</w:t>
            </w:r>
            <w:r w:rsidRPr="005620A7">
              <w:t xml:space="preserve">orks, and it is authorised to do so, it agrees that it will ensure, through </w:t>
            </w:r>
            <w:r w:rsidR="00AB20E7" w:rsidRPr="005620A7">
              <w:t>C</w:t>
            </w:r>
            <w:r w:rsidRPr="005620A7">
              <w:t xml:space="preserve">ontract, that each subcontractor or consultant agrees to the above </w:t>
            </w:r>
            <w:r w:rsidR="00AB20E7" w:rsidRPr="005620A7">
              <w:t>C</w:t>
            </w:r>
            <w:r w:rsidRPr="005620A7">
              <w:t>lauses:</w:t>
            </w:r>
          </w:p>
          <w:p w14:paraId="0CB1D73C" w14:textId="6AF4FC06" w:rsidR="008078E3" w:rsidRPr="005620A7" w:rsidRDefault="008078E3" w:rsidP="008078E3">
            <w:pPr>
              <w:pStyle w:val="TableBodyText"/>
              <w:widowControl w:val="0"/>
              <w:numPr>
                <w:ilvl w:val="1"/>
                <w:numId w:val="50"/>
              </w:numPr>
            </w:pPr>
            <w:r w:rsidRPr="005620A7">
              <w:t xml:space="preserve">the </w:t>
            </w:r>
            <w:r w:rsidR="00AB20E7" w:rsidRPr="005620A7">
              <w:t>I</w:t>
            </w:r>
            <w:r w:rsidRPr="005620A7">
              <w:t>tems in Clauses</w:t>
            </w:r>
            <w:r w:rsidR="00BA36A9" w:rsidRPr="005620A7">
              <w:t> </w:t>
            </w:r>
            <w:r w:rsidRPr="005620A7">
              <w:t>1.1</w:t>
            </w:r>
            <w:r w:rsidR="00AB20E7" w:rsidRPr="005620A7">
              <w:t> </w:t>
            </w:r>
            <w:r w:rsidRPr="005620A7">
              <w:t xml:space="preserve">(Primary </w:t>
            </w:r>
            <w:r w:rsidR="00353489" w:rsidRPr="005620A7">
              <w:t>a</w:t>
            </w:r>
            <w:r w:rsidRPr="005620A7">
              <w:t xml:space="preserve">cknowledgments and </w:t>
            </w:r>
            <w:r w:rsidR="00353489" w:rsidRPr="005620A7">
              <w:t>u</w:t>
            </w:r>
            <w:r w:rsidRPr="005620A7">
              <w:t>ndertakings ) and</w:t>
            </w:r>
            <w:r w:rsidR="00AB20E7" w:rsidRPr="005620A7">
              <w:t> </w:t>
            </w:r>
            <w:r w:rsidRPr="005620A7">
              <w:t>1.4</w:t>
            </w:r>
            <w:r w:rsidR="00AB20E7" w:rsidRPr="005620A7">
              <w:t> </w:t>
            </w:r>
            <w:r w:rsidRPr="005620A7">
              <w:t>to</w:t>
            </w:r>
            <w:r w:rsidR="00AB20E7" w:rsidRPr="005620A7">
              <w:t> </w:t>
            </w:r>
            <w:r w:rsidRPr="005620A7">
              <w:t xml:space="preserve">1.7 (Disclosure of </w:t>
            </w:r>
            <w:r w:rsidR="00353489" w:rsidRPr="005620A7">
              <w:t>i</w:t>
            </w:r>
            <w:r w:rsidRPr="005620A7">
              <w:t>nformation) in respect of the relevant subcontractor or consultant</w:t>
            </w:r>
          </w:p>
          <w:p w14:paraId="1D9AD9D6" w14:textId="103C83F6" w:rsidR="008078E3" w:rsidRDefault="008078E3" w:rsidP="008078E3">
            <w:pPr>
              <w:pStyle w:val="TableBodyText"/>
              <w:widowControl w:val="0"/>
              <w:numPr>
                <w:ilvl w:val="1"/>
                <w:numId w:val="50"/>
              </w:numPr>
            </w:pPr>
            <w:r w:rsidRPr="005620A7">
              <w:t>comply with the applicable plans and policies on the</w:t>
            </w:r>
            <w:r w:rsidR="00BA36A9" w:rsidRPr="005620A7">
              <w:t xml:space="preserve"> project referred to in Clauses </w:t>
            </w:r>
            <w:r w:rsidRPr="005620A7">
              <w:t>1.8 to</w:t>
            </w:r>
            <w:r w:rsidR="005620A7">
              <w:t> </w:t>
            </w:r>
            <w:r w:rsidRPr="005620A7">
              <w:t>1.9</w:t>
            </w:r>
            <w:r w:rsidR="005620A7">
              <w:t> </w:t>
            </w:r>
            <w:r w:rsidRPr="005620A7">
              <w:t>(Positive</w:t>
            </w:r>
            <w:r>
              <w:t xml:space="preserve"> </w:t>
            </w:r>
            <w:r w:rsidR="00353489">
              <w:t>o</w:t>
            </w:r>
            <w:r>
              <w:t>bligations) and</w:t>
            </w:r>
            <w:r w:rsidR="005620A7">
              <w:t> </w:t>
            </w:r>
            <w:r>
              <w:t>1.10</w:t>
            </w:r>
            <w:r w:rsidR="005620A7">
              <w:t> </w:t>
            </w:r>
            <w:r>
              <w:t xml:space="preserve">(Privately </w:t>
            </w:r>
            <w:r w:rsidR="00353489">
              <w:t>f</w:t>
            </w:r>
            <w:r>
              <w:t xml:space="preserve">unded </w:t>
            </w:r>
            <w:r w:rsidR="00CE0F26">
              <w:t>W</w:t>
            </w:r>
            <w:r>
              <w:t>ork)</w:t>
            </w:r>
          </w:p>
          <w:p w14:paraId="58A3B3B1" w14:textId="66BDE91D" w:rsidR="008078E3" w:rsidRDefault="008078E3" w:rsidP="008078E3">
            <w:pPr>
              <w:pStyle w:val="TableBodyText"/>
              <w:widowControl w:val="0"/>
              <w:numPr>
                <w:ilvl w:val="1"/>
                <w:numId w:val="50"/>
              </w:numPr>
            </w:pPr>
            <w:r>
              <w:t xml:space="preserve">where a nominated subcontractor or consultant is proposed in Tender documents, that </w:t>
            </w:r>
            <w:r w:rsidR="005620A7">
              <w:t xml:space="preserve">the </w:t>
            </w:r>
            <w:r>
              <w:t xml:space="preserve">nominated party cooperates with Queensland Government authorised personnel during the </w:t>
            </w:r>
            <w:r w:rsidR="005620A7">
              <w:t>T</w:t>
            </w:r>
            <w:r>
              <w:t>ender process for purposes outlined in Clauses</w:t>
            </w:r>
            <w:r w:rsidR="00BA36A9">
              <w:t> </w:t>
            </w:r>
            <w:r>
              <w:t>1.2</w:t>
            </w:r>
            <w:r w:rsidR="005620A7">
              <w:t> </w:t>
            </w:r>
            <w:r>
              <w:t>to</w:t>
            </w:r>
            <w:r w:rsidR="005620A7">
              <w:t> </w:t>
            </w:r>
            <w:r>
              <w:t>1.3</w:t>
            </w:r>
            <w:r w:rsidR="005620A7">
              <w:t> </w:t>
            </w:r>
            <w:r>
              <w:t xml:space="preserve">(Sanctions for </w:t>
            </w:r>
            <w:r w:rsidR="00353489">
              <w:t>n</w:t>
            </w:r>
            <w:r>
              <w:t>on</w:t>
            </w:r>
            <w:r w:rsidR="005620A7">
              <w:noBreakHyphen/>
            </w:r>
            <w:r w:rsidR="00353489">
              <w:t>c</w:t>
            </w:r>
            <w:r>
              <w:t>ompliance)</w:t>
            </w:r>
            <w:r w:rsidR="00353489">
              <w:t>.</w:t>
            </w:r>
          </w:p>
          <w:p w14:paraId="1B317C0C" w14:textId="77777777" w:rsidR="008078E3" w:rsidRPr="0018145A" w:rsidRDefault="008078E3" w:rsidP="00B52A32">
            <w:pPr>
              <w:pStyle w:val="TableBodyText"/>
              <w:keepNext/>
              <w:keepLines/>
              <w:rPr>
                <w:rStyle w:val="BodyTextbold"/>
              </w:rPr>
            </w:pPr>
            <w:r w:rsidRPr="0018145A">
              <w:rPr>
                <w:rStyle w:val="BodyTextbold"/>
              </w:rPr>
              <w:t xml:space="preserve">Declaration by Tenderer and </w:t>
            </w:r>
            <w:r w:rsidR="00353489">
              <w:rPr>
                <w:rStyle w:val="BodyTextbold"/>
              </w:rPr>
              <w:t>a</w:t>
            </w:r>
            <w:r w:rsidRPr="0018145A">
              <w:rPr>
                <w:rStyle w:val="BodyTextbold"/>
              </w:rPr>
              <w:t>uthorised representative</w:t>
            </w:r>
          </w:p>
          <w:p w14:paraId="54709DAB" w14:textId="77777777" w:rsidR="008078E3" w:rsidRDefault="008078E3" w:rsidP="00B52A32">
            <w:pPr>
              <w:pStyle w:val="TableBodyText"/>
              <w:keepNext/>
              <w:keepLines/>
            </w:pPr>
            <w:r>
              <w:t>By signing this declaration on behalf of the Tenderer, the authorised representative declares that they have full authority to execute it and have obtained any necessary consents and approvals to do so.</w:t>
            </w:r>
          </w:p>
        </w:tc>
      </w:tr>
    </w:tbl>
    <w:p w14:paraId="418FC7E0" w14:textId="77777777" w:rsidR="00760164" w:rsidRDefault="00760164" w:rsidP="00B8333F">
      <w:pPr>
        <w:pStyle w:val="BodyText"/>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095"/>
        <w:gridCol w:w="2877"/>
      </w:tblGrid>
      <w:tr w:rsidR="002E074D" w14:paraId="77C4AC19" w14:textId="77777777" w:rsidTr="00FC33D0">
        <w:tc>
          <w:tcPr>
            <w:tcW w:w="8930" w:type="dxa"/>
            <w:gridSpan w:val="3"/>
            <w:shd w:val="clear" w:color="auto" w:fill="auto"/>
            <w:vAlign w:val="center"/>
          </w:tcPr>
          <w:p w14:paraId="43F3B71D" w14:textId="77777777" w:rsidR="002E074D" w:rsidRDefault="002E074D" w:rsidP="00133AE0">
            <w:pPr>
              <w:pStyle w:val="TableHeading"/>
              <w:keepNext/>
              <w:keepLines/>
              <w:jc w:val="left"/>
            </w:pPr>
            <w:r>
              <w:lastRenderedPageBreak/>
              <w:t>Authorisation</w:t>
            </w:r>
          </w:p>
        </w:tc>
      </w:tr>
      <w:tr w:rsidR="002E074D" w14:paraId="7B33852E" w14:textId="77777777" w:rsidTr="00FC33D0">
        <w:tc>
          <w:tcPr>
            <w:tcW w:w="8930" w:type="dxa"/>
            <w:gridSpan w:val="3"/>
            <w:shd w:val="clear" w:color="auto" w:fill="auto"/>
            <w:vAlign w:val="center"/>
          </w:tcPr>
          <w:p w14:paraId="4F0B2FBF" w14:textId="77777777" w:rsidR="002E074D" w:rsidRDefault="002E074D" w:rsidP="008078E3">
            <w:pPr>
              <w:pStyle w:val="TableHeading"/>
              <w:keepNext/>
              <w:keepLines/>
              <w:jc w:val="left"/>
            </w:pPr>
            <w:r>
              <w:t xml:space="preserve">For and on behalf of </w:t>
            </w:r>
            <w:r w:rsidR="008078E3">
              <w:t>the Tenderer</w:t>
            </w:r>
          </w:p>
        </w:tc>
      </w:tr>
      <w:tr w:rsidR="002E074D" w14:paraId="1806225F" w14:textId="77777777" w:rsidTr="00FC33D0">
        <w:tc>
          <w:tcPr>
            <w:tcW w:w="2958" w:type="dxa"/>
            <w:shd w:val="clear" w:color="auto" w:fill="auto"/>
            <w:vAlign w:val="center"/>
          </w:tcPr>
          <w:p w14:paraId="02892AE7" w14:textId="359F4745" w:rsidR="002E074D" w:rsidRDefault="002E074D" w:rsidP="002E074D">
            <w:pPr>
              <w:pStyle w:val="TableBodyTextsmall"/>
            </w:pPr>
            <w:r>
              <w:t>Name</w:t>
            </w:r>
            <w:r w:rsidR="005620A7">
              <w:t> </w:t>
            </w:r>
            <w:r>
              <w:t>/</w:t>
            </w:r>
            <w:r w:rsidR="005620A7">
              <w:t> </w:t>
            </w:r>
            <w:r>
              <w:t>Position</w:t>
            </w:r>
            <w:r w:rsidR="00EE139A">
              <w:t xml:space="preserve"> of Authorised Person</w:t>
            </w:r>
          </w:p>
        </w:tc>
        <w:tc>
          <w:tcPr>
            <w:tcW w:w="3095" w:type="dxa"/>
            <w:shd w:val="clear" w:color="auto" w:fill="auto"/>
            <w:vAlign w:val="center"/>
          </w:tcPr>
          <w:p w14:paraId="633F96B0" w14:textId="77777777" w:rsidR="002E074D" w:rsidRDefault="002E074D" w:rsidP="002E074D">
            <w:pPr>
              <w:pStyle w:val="TableBodyTextsmall"/>
            </w:pPr>
            <w:r>
              <w:t>Signature</w:t>
            </w:r>
          </w:p>
        </w:tc>
        <w:tc>
          <w:tcPr>
            <w:tcW w:w="2877" w:type="dxa"/>
            <w:shd w:val="clear" w:color="auto" w:fill="auto"/>
            <w:vAlign w:val="center"/>
          </w:tcPr>
          <w:p w14:paraId="1984D5AE" w14:textId="77777777" w:rsidR="002E074D" w:rsidRDefault="002E074D" w:rsidP="002E074D">
            <w:pPr>
              <w:pStyle w:val="TableBodyTextsmall"/>
            </w:pPr>
            <w:r>
              <w:t>Date</w:t>
            </w:r>
          </w:p>
        </w:tc>
      </w:tr>
      <w:tr w:rsidR="002E074D" w14:paraId="2EB6CA30" w14:textId="77777777" w:rsidTr="00FC33D0">
        <w:tc>
          <w:tcPr>
            <w:tcW w:w="2958" w:type="dxa"/>
            <w:shd w:val="clear" w:color="auto" w:fill="auto"/>
            <w:vAlign w:val="center"/>
          </w:tcPr>
          <w:p w14:paraId="3E6145CB" w14:textId="77777777" w:rsidR="002E074D" w:rsidRDefault="002E074D" w:rsidP="00133AE0">
            <w:pPr>
              <w:pStyle w:val="BodyText"/>
              <w:keepNext/>
              <w:keepLines/>
            </w:pPr>
          </w:p>
        </w:tc>
        <w:tc>
          <w:tcPr>
            <w:tcW w:w="3095" w:type="dxa"/>
            <w:shd w:val="clear" w:color="auto" w:fill="auto"/>
            <w:vAlign w:val="center"/>
          </w:tcPr>
          <w:p w14:paraId="34BF47D3" w14:textId="77777777" w:rsidR="002E074D" w:rsidRDefault="002E074D" w:rsidP="00133AE0">
            <w:pPr>
              <w:pStyle w:val="BodyText"/>
              <w:keepNext/>
              <w:keepLines/>
            </w:pPr>
          </w:p>
        </w:tc>
        <w:tc>
          <w:tcPr>
            <w:tcW w:w="2877" w:type="dxa"/>
            <w:shd w:val="clear" w:color="auto" w:fill="auto"/>
            <w:vAlign w:val="center"/>
          </w:tcPr>
          <w:p w14:paraId="293343A5" w14:textId="77777777" w:rsidR="002E074D" w:rsidRDefault="002E074D" w:rsidP="00133AE0">
            <w:pPr>
              <w:pStyle w:val="BodyText"/>
              <w:keepNext/>
              <w:keepLines/>
            </w:pPr>
          </w:p>
        </w:tc>
      </w:tr>
      <w:tr w:rsidR="00C34247" w14:paraId="405A9D78" w14:textId="77777777" w:rsidTr="00FC33D0">
        <w:tc>
          <w:tcPr>
            <w:tcW w:w="8930" w:type="dxa"/>
            <w:gridSpan w:val="3"/>
            <w:shd w:val="clear" w:color="auto" w:fill="auto"/>
            <w:vAlign w:val="center"/>
          </w:tcPr>
          <w:p w14:paraId="35776496" w14:textId="0FD7B35D" w:rsidR="00C34247" w:rsidRDefault="00C34247" w:rsidP="005E7F89">
            <w:pPr>
              <w:pStyle w:val="TableBodyTextsmall"/>
            </w:pPr>
            <w:r>
              <w:t xml:space="preserve">Name of </w:t>
            </w:r>
            <w:r w:rsidR="008078E3">
              <w:t>Tenderer</w:t>
            </w:r>
            <w:r w:rsidR="005620A7">
              <w:t> </w:t>
            </w:r>
            <w:r w:rsidR="00EE139A">
              <w:t>(insert full legal name, including Australian Business Number</w:t>
            </w:r>
            <w:r w:rsidR="005620A7">
              <w:t> </w:t>
            </w:r>
            <w:r w:rsidR="00EE139A">
              <w:t>(ABN) and, where applicable, Australian Company Name</w:t>
            </w:r>
            <w:r w:rsidR="005620A7">
              <w:t> </w:t>
            </w:r>
            <w:r w:rsidR="00EE139A">
              <w:t>(ACN) of Tenderer)</w:t>
            </w:r>
          </w:p>
        </w:tc>
      </w:tr>
      <w:tr w:rsidR="008078E3" w14:paraId="15D27E78" w14:textId="77777777" w:rsidTr="00FC33D0">
        <w:tc>
          <w:tcPr>
            <w:tcW w:w="8930" w:type="dxa"/>
            <w:gridSpan w:val="3"/>
            <w:shd w:val="clear" w:color="auto" w:fill="auto"/>
            <w:vAlign w:val="center"/>
          </w:tcPr>
          <w:p w14:paraId="6F57C94D" w14:textId="77777777" w:rsidR="008078E3" w:rsidRDefault="008078E3" w:rsidP="00133AE0">
            <w:pPr>
              <w:pStyle w:val="BodyText"/>
              <w:keepNext/>
              <w:keepLines/>
            </w:pPr>
          </w:p>
        </w:tc>
      </w:tr>
      <w:tr w:rsidR="00C34247" w14:paraId="1017F297" w14:textId="77777777" w:rsidTr="00FC33D0">
        <w:tc>
          <w:tcPr>
            <w:tcW w:w="8930" w:type="dxa"/>
            <w:gridSpan w:val="3"/>
            <w:shd w:val="clear" w:color="auto" w:fill="auto"/>
            <w:vAlign w:val="center"/>
          </w:tcPr>
          <w:p w14:paraId="474A7FDC" w14:textId="248F9CFB" w:rsidR="00C34247" w:rsidRDefault="008078E3" w:rsidP="00C34247">
            <w:pPr>
              <w:pStyle w:val="TableBodyTextsmall"/>
            </w:pPr>
            <w:r w:rsidRPr="008078E3">
              <w:t xml:space="preserve">The Department of Transport and Main Roads collects personal information on this form so that you may authorise the Tender for and on behalf of the Tenderer. The information on this form is accessible by authorised departmental officers and external personnel who are engaged to assess tenders and if your organisation is the successful Tenderer, the </w:t>
            </w:r>
            <w:r w:rsidR="005620A7">
              <w:t>d</w:t>
            </w:r>
            <w:r w:rsidRPr="008078E3">
              <w:t>epartment may from time to time disclose your contact details to third parties as a point of contact.</w:t>
            </w:r>
          </w:p>
        </w:tc>
      </w:tr>
    </w:tbl>
    <w:p w14:paraId="01C25244" w14:textId="77777777" w:rsidR="00133AE0" w:rsidRDefault="00133AE0" w:rsidP="00C5054B">
      <w:pPr>
        <w:pStyle w:val="BodyText"/>
      </w:pPr>
    </w:p>
    <w:sectPr w:rsidR="00133AE0" w:rsidSect="0061185E">
      <w:headerReference w:type="default" r:id="rId12"/>
      <w:footerReference w:type="default" r:id="rId13"/>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06AF" w14:textId="77777777" w:rsidR="006066F0" w:rsidRDefault="006066F0">
      <w:r>
        <w:separator/>
      </w:r>
    </w:p>
    <w:p w14:paraId="031B3893" w14:textId="77777777" w:rsidR="006066F0" w:rsidRDefault="006066F0"/>
  </w:endnote>
  <w:endnote w:type="continuationSeparator" w:id="0">
    <w:p w14:paraId="71275C00" w14:textId="77777777" w:rsidR="006066F0" w:rsidRDefault="006066F0">
      <w:r>
        <w:continuationSeparator/>
      </w:r>
    </w:p>
    <w:p w14:paraId="0E0171C0" w14:textId="77777777" w:rsidR="006066F0" w:rsidRDefault="00606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461A" w14:textId="397D545C" w:rsidR="00C5054B" w:rsidRDefault="008227F6" w:rsidP="00F37CD0">
    <w:pPr>
      <w:pStyle w:val="Footer"/>
      <w:tabs>
        <w:tab w:val="clear" w:pos="9540"/>
        <w:tab w:val="right" w:pos="9072"/>
      </w:tabs>
      <w:ind w:right="-2"/>
    </w:pPr>
    <w:r>
      <w:t>Infrastructure</w:t>
    </w:r>
    <w:r w:rsidR="009D26F2">
      <w:t xml:space="preserve"> Contract</w:t>
    </w:r>
    <w:r w:rsidR="00FD107E">
      <w:t>,</w:t>
    </w:r>
    <w:r w:rsidR="009D26F2">
      <w:t xml:space="preserve"> </w:t>
    </w:r>
    <w:r w:rsidR="00C5054B" w:rsidRPr="00391457">
      <w:t>Trans</w:t>
    </w:r>
    <w:r w:rsidR="00C5054B">
      <w:t xml:space="preserve">port and Main Roads, </w:t>
    </w:r>
    <w:r w:rsidR="00282599">
      <w:t>March 2023</w:t>
    </w:r>
    <w:r w:rsidR="008078E3">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476B2F">
      <w:rPr>
        <w:rStyle w:val="PageNumber"/>
        <w:noProof/>
      </w:rPr>
      <w:t>1</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476B2F">
      <w:rPr>
        <w:rStyle w:val="PageNumber"/>
        <w:noProof/>
      </w:rPr>
      <w:t>4</w:t>
    </w:r>
    <w:r w:rsidR="00133AE0"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C369" w14:textId="77777777" w:rsidR="006066F0" w:rsidRDefault="006066F0">
      <w:r>
        <w:separator/>
      </w:r>
    </w:p>
    <w:p w14:paraId="4C6E7D64" w14:textId="77777777" w:rsidR="006066F0" w:rsidRDefault="006066F0"/>
  </w:footnote>
  <w:footnote w:type="continuationSeparator" w:id="0">
    <w:p w14:paraId="713EC0C9" w14:textId="77777777" w:rsidR="006066F0" w:rsidRDefault="006066F0">
      <w:r>
        <w:continuationSeparator/>
      </w:r>
    </w:p>
    <w:p w14:paraId="0F76D8EE" w14:textId="77777777" w:rsidR="006066F0" w:rsidRDefault="00606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DEA8" w14:textId="5FCEFB35" w:rsidR="00C5054B" w:rsidRPr="007E6BE4" w:rsidRDefault="00CB4BD6"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0" locked="0" layoutInCell="1" allowOverlap="1" wp14:anchorId="65EEF836" wp14:editId="1BB50CC1">
          <wp:simplePos x="0" y="0"/>
          <wp:positionH relativeFrom="column">
            <wp:posOffset>3512820</wp:posOffset>
          </wp:positionH>
          <wp:positionV relativeFrom="paragraph">
            <wp:posOffset>-3810</wp:posOffset>
          </wp:positionV>
          <wp:extent cx="2257425" cy="3905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8078E3">
      <w:rPr>
        <w:b/>
        <w:sz w:val="32"/>
        <w:szCs w:val="32"/>
      </w:rPr>
      <w:t>Tender Schedule</w:t>
    </w:r>
    <w:r w:rsidR="00282599">
      <w:rPr>
        <w:b/>
        <w:sz w:val="32"/>
        <w:szCs w:val="32"/>
      </w:rPr>
      <w:t> </w:t>
    </w:r>
    <w:r w:rsidR="008078E3">
      <w:rPr>
        <w:b/>
        <w:sz w:val="32"/>
        <w:szCs w:val="32"/>
      </w:rPr>
      <w:t>S6</w:t>
    </w:r>
    <w:r w:rsidR="00282599">
      <w:rPr>
        <w:b/>
        <w:sz w:val="32"/>
        <w:szCs w:val="32"/>
      </w:rPr>
      <w:t> </w:t>
    </w:r>
    <w:r w:rsidR="008078E3">
      <w:rPr>
        <w:b/>
        <w:sz w:val="32"/>
        <w:szCs w:val="32"/>
      </w:rPr>
      <w:t>–</w:t>
    </w:r>
    <w:r w:rsidR="00282599">
      <w:rPr>
        <w:b/>
        <w:sz w:val="32"/>
        <w:szCs w:val="32"/>
      </w:rPr>
      <w:t> </w:t>
    </w:r>
    <w:r w:rsidR="008078E3">
      <w:rPr>
        <w:b/>
        <w:sz w:val="32"/>
        <w:szCs w:val="32"/>
      </w:rPr>
      <w:t>Queensland Government Compliance Schedule</w:t>
    </w:r>
  </w:p>
  <w:p w14:paraId="4C89A561" w14:textId="2EF5F1F8" w:rsidR="00C5054B" w:rsidRPr="007E6BE4" w:rsidRDefault="008078E3" w:rsidP="00C5054B">
    <w:pPr>
      <w:pStyle w:val="HeaderChapterpart"/>
      <w:rPr>
        <w:sz w:val="32"/>
        <w:szCs w:val="32"/>
      </w:rPr>
    </w:pPr>
    <w:r>
      <w:rPr>
        <w:sz w:val="32"/>
        <w:szCs w:val="32"/>
      </w:rPr>
      <w:t>Queensland Government</w:t>
    </w:r>
    <w:r w:rsidR="00B67110">
      <w:rPr>
        <w:sz w:val="32"/>
        <w:szCs w:val="32"/>
      </w:rPr>
      <w:t xml:space="preserve"> </w:t>
    </w:r>
    <w:r>
      <w:rPr>
        <w:sz w:val="32"/>
        <w:szCs w:val="32"/>
      </w:rPr>
      <w:t>Code of Practice</w:t>
    </w:r>
    <w:r w:rsidR="00B67110">
      <w:rPr>
        <w:sz w:val="32"/>
        <w:szCs w:val="32"/>
      </w:rPr>
      <w:br/>
    </w:r>
    <w:r>
      <w:rPr>
        <w:sz w:val="32"/>
        <w:szCs w:val="32"/>
      </w:rPr>
      <w:t>for the Building and Construction Industry</w:t>
    </w:r>
    <w:r w:rsidR="00B67110">
      <w:rPr>
        <w:sz w:val="32"/>
        <w:szCs w:val="32"/>
      </w:rPr>
      <w:br/>
    </w:r>
    <w:r>
      <w:rPr>
        <w:sz w:val="32"/>
        <w:szCs w:val="32"/>
      </w:rPr>
      <w:t>(Queensland Code)</w:t>
    </w:r>
  </w:p>
  <w:p w14:paraId="579A459D" w14:textId="77777777" w:rsidR="00C5054B" w:rsidRDefault="00C5054B" w:rsidP="00C5054B">
    <w:pPr>
      <w:pStyle w:val="HeaderChapterpart"/>
      <w:pBdr>
        <w:bottom w:val="none" w:sz="0" w:space="0" w:color="auto"/>
      </w:pBd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882"/>
    </w:tblGrid>
    <w:tr w:rsidR="00133AE0" w:rsidRPr="00125B5A" w14:paraId="2A64A0D0" w14:textId="77777777" w:rsidTr="00FC33D0">
      <w:trPr>
        <w:trHeight w:val="340"/>
      </w:trPr>
      <w:tc>
        <w:tcPr>
          <w:tcW w:w="3936" w:type="dxa"/>
          <w:tcBorders>
            <w:top w:val="nil"/>
            <w:left w:val="nil"/>
            <w:bottom w:val="nil"/>
            <w:right w:val="single" w:sz="4" w:space="0" w:color="auto"/>
          </w:tcBorders>
          <w:shd w:val="clear" w:color="auto" w:fill="auto"/>
          <w:vAlign w:val="bottom"/>
        </w:tcPr>
        <w:p w14:paraId="546D8DE5" w14:textId="038BAB70" w:rsidR="00C5054B" w:rsidRPr="00133AE0" w:rsidRDefault="008078E3" w:rsidP="008078E3">
          <w:pPr>
            <w:pStyle w:val="HeaderChapterpart"/>
            <w:keepNext/>
            <w:keepLines/>
            <w:pBdr>
              <w:bottom w:val="none" w:sz="0" w:space="0" w:color="auto"/>
            </w:pBdr>
            <w:ind w:right="0"/>
            <w:rPr>
              <w:b/>
              <w:sz w:val="22"/>
              <w:szCs w:val="22"/>
            </w:rPr>
          </w:pPr>
          <w:r>
            <w:rPr>
              <w:b/>
              <w:sz w:val="22"/>
              <w:szCs w:val="22"/>
            </w:rPr>
            <w:t>C7810.S6</w:t>
          </w:r>
          <w:r w:rsidR="00FD107E">
            <w:rPr>
              <w:b/>
              <w:sz w:val="22"/>
              <w:szCs w:val="22"/>
            </w:rPr>
            <w:t>.IC</w:t>
          </w:r>
        </w:p>
      </w:tc>
      <w:tc>
        <w:tcPr>
          <w:tcW w:w="2254" w:type="dxa"/>
          <w:tcBorders>
            <w:left w:val="single" w:sz="4" w:space="0" w:color="auto"/>
          </w:tcBorders>
          <w:shd w:val="clear" w:color="auto" w:fill="auto"/>
          <w:vAlign w:val="bottom"/>
        </w:tcPr>
        <w:p w14:paraId="09E97FAF" w14:textId="77777777" w:rsidR="00C5054B" w:rsidRPr="00133AE0" w:rsidRDefault="00C5054B" w:rsidP="00133AE0">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2882" w:type="dxa"/>
          <w:shd w:val="clear" w:color="auto" w:fill="auto"/>
          <w:vAlign w:val="bottom"/>
        </w:tcPr>
        <w:p w14:paraId="5DD408DB" w14:textId="77777777" w:rsidR="00C5054B" w:rsidRPr="00133AE0" w:rsidRDefault="00C5054B" w:rsidP="00133AE0">
          <w:pPr>
            <w:pStyle w:val="HeaderChapterpart"/>
            <w:keepNext/>
            <w:keepLines/>
            <w:pBdr>
              <w:bottom w:val="none" w:sz="0" w:space="0" w:color="auto"/>
            </w:pBdr>
            <w:ind w:right="0"/>
            <w:rPr>
              <w:b/>
              <w:sz w:val="22"/>
              <w:szCs w:val="22"/>
            </w:rPr>
          </w:pPr>
        </w:p>
      </w:tc>
    </w:tr>
  </w:tbl>
  <w:p w14:paraId="717A0A93" w14:textId="77777777" w:rsidR="00C5054B" w:rsidRPr="00125B5A" w:rsidRDefault="00C5054B" w:rsidP="00C5054B">
    <w:pPr>
      <w:pStyle w:val="HeaderChapterpart"/>
      <w:pBdr>
        <w:bottom w:val="none" w:sz="0" w:space="0" w:color="auto"/>
      </w:pBdr>
    </w:pPr>
  </w:p>
  <w:p w14:paraId="71F4A063" w14:textId="77777777" w:rsidR="00BF7B37" w:rsidRPr="004D7425" w:rsidRDefault="00BF7B37" w:rsidP="004D7425">
    <w:pPr>
      <w:pStyle w:val="Header"/>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BC17813"/>
    <w:multiLevelType w:val="multilevel"/>
    <w:tmpl w:val="DC821EBC"/>
    <w:numStyleLink w:val="TableListAllBullets3Level"/>
  </w:abstractNum>
  <w:abstractNum w:abstractNumId="11" w15:restartNumberingAfterBreak="0">
    <w:nsid w:val="1CB508B7"/>
    <w:multiLevelType w:val="multilevel"/>
    <w:tmpl w:val="5DAC17FA"/>
    <w:numStyleLink w:val="TableListSmallNumber"/>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66951D4"/>
    <w:multiLevelType w:val="multilevel"/>
    <w:tmpl w:val="DC821EBC"/>
    <w:numStyleLink w:val="TableListAllBullets3Level"/>
  </w:abstractNum>
  <w:abstractNum w:abstractNumId="16"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717D11"/>
    <w:multiLevelType w:val="multilevel"/>
    <w:tmpl w:val="DC821EBC"/>
    <w:numStyleLink w:val="TableListAllBullets3Level"/>
  </w:abstractNum>
  <w:abstractNum w:abstractNumId="18" w15:restartNumberingAfterBreak="0">
    <w:nsid w:val="38B0774F"/>
    <w:multiLevelType w:val="multilevel"/>
    <w:tmpl w:val="620CC31C"/>
    <w:numStyleLink w:val="ListAllBullets3Level"/>
  </w:abstractNum>
  <w:abstractNum w:abstractNumId="1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0" w15:restartNumberingAfterBreak="0">
    <w:nsid w:val="3D4716F6"/>
    <w:multiLevelType w:val="multilevel"/>
    <w:tmpl w:val="B2B20138"/>
    <w:numStyleLink w:val="TableListAllLetter3level"/>
  </w:abstractNum>
  <w:abstractNum w:abstractNumId="21" w15:restartNumberingAfterBreak="0">
    <w:nsid w:val="3D6F0D8D"/>
    <w:multiLevelType w:val="multilevel"/>
    <w:tmpl w:val="B2B20138"/>
    <w:numStyleLink w:val="TableListAllLetter3level"/>
  </w:abstractNum>
  <w:abstractNum w:abstractNumId="2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178605B"/>
    <w:multiLevelType w:val="multilevel"/>
    <w:tmpl w:val="E300FCC2"/>
    <w:lvl w:ilvl="0">
      <w:start w:val="1"/>
      <w:numFmt w:val="decimal"/>
      <w:lvlText w:val="%1.9"/>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BD1B8B"/>
    <w:multiLevelType w:val="multilevel"/>
    <w:tmpl w:val="236A166A"/>
    <w:numStyleLink w:val="TableListAllNum3Level"/>
  </w:abstractNum>
  <w:abstractNum w:abstractNumId="26" w15:restartNumberingAfterBreak="0">
    <w:nsid w:val="45A75E68"/>
    <w:multiLevelType w:val="multilevel"/>
    <w:tmpl w:val="620CC31C"/>
    <w:numStyleLink w:val="ListAllBullets3Level"/>
  </w:abstractNum>
  <w:abstractNum w:abstractNumId="27" w15:restartNumberingAfterBreak="0">
    <w:nsid w:val="49726A54"/>
    <w:multiLevelType w:val="multilevel"/>
    <w:tmpl w:val="DC821EBC"/>
    <w:numStyleLink w:val="TableListAllBullets3Level"/>
  </w:abstractNum>
  <w:abstractNum w:abstractNumId="28"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F830FDD"/>
    <w:multiLevelType w:val="multilevel"/>
    <w:tmpl w:val="AB2E9E82"/>
    <w:numStyleLink w:val="TableListSmallLetter"/>
  </w:abstractNum>
  <w:abstractNum w:abstractNumId="30"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7582309"/>
    <w:multiLevelType w:val="multilevel"/>
    <w:tmpl w:val="620CC31C"/>
    <w:numStyleLink w:val="ListAllBullets3Level"/>
  </w:abstractNum>
  <w:abstractNum w:abstractNumId="32" w15:restartNumberingAfterBreak="0">
    <w:nsid w:val="57EF42BE"/>
    <w:multiLevelType w:val="multilevel"/>
    <w:tmpl w:val="B2B20138"/>
    <w:numStyleLink w:val="TableListAllLetter3level"/>
  </w:abstractNum>
  <w:abstractNum w:abstractNumId="33" w15:restartNumberingAfterBreak="0">
    <w:nsid w:val="587C617C"/>
    <w:multiLevelType w:val="multilevel"/>
    <w:tmpl w:val="5DAC17FA"/>
    <w:numStyleLink w:val="TableListSmallNumber"/>
  </w:abstractNum>
  <w:abstractNum w:abstractNumId="34" w15:restartNumberingAfterBreak="0">
    <w:nsid w:val="5ECB568E"/>
    <w:multiLevelType w:val="multilevel"/>
    <w:tmpl w:val="0812102C"/>
    <w:lvl w:ilvl="0">
      <w:start w:val="1"/>
      <w:numFmt w:val="decimal"/>
      <w:lvlText w:val="%1.5"/>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921570F"/>
    <w:multiLevelType w:val="multilevel"/>
    <w:tmpl w:val="DC821EBC"/>
    <w:numStyleLink w:val="TableListAllBullets3Level"/>
  </w:abstractNum>
  <w:abstractNum w:abstractNumId="38" w15:restartNumberingAfterBreak="0">
    <w:nsid w:val="69F22DC6"/>
    <w:multiLevelType w:val="multilevel"/>
    <w:tmpl w:val="8F4253D6"/>
    <w:lvl w:ilvl="0">
      <w:start w:val="1"/>
      <w:numFmt w:val="decimal"/>
      <w:lvlText w:val="%1.7"/>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1D37352"/>
    <w:multiLevelType w:val="multilevel"/>
    <w:tmpl w:val="B2B20138"/>
    <w:numStyleLink w:val="TableListAllLetter3level"/>
  </w:abstractNum>
  <w:abstractNum w:abstractNumId="40" w15:restartNumberingAfterBreak="0">
    <w:nsid w:val="71E76A0B"/>
    <w:multiLevelType w:val="multilevel"/>
    <w:tmpl w:val="D4741CCA"/>
    <w:lvl w:ilvl="0">
      <w:start w:val="1"/>
      <w:numFmt w:val="decimal"/>
      <w:lvlText w:val="%1.4"/>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33219AB"/>
    <w:multiLevelType w:val="multilevel"/>
    <w:tmpl w:val="168C5AE8"/>
    <w:numStyleLink w:val="ListAllLetter3Level"/>
  </w:abstractNum>
  <w:abstractNum w:abstractNumId="42"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5F87C64"/>
    <w:multiLevelType w:val="multilevel"/>
    <w:tmpl w:val="5DAC17FA"/>
    <w:numStyleLink w:val="TableListSmallNumber"/>
  </w:abstractNum>
  <w:abstractNum w:abstractNumId="44" w15:restartNumberingAfterBreak="0">
    <w:nsid w:val="783A0A84"/>
    <w:multiLevelType w:val="multilevel"/>
    <w:tmpl w:val="92DEBCD8"/>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A5F4FED"/>
    <w:multiLevelType w:val="multilevel"/>
    <w:tmpl w:val="168C5AE8"/>
    <w:numStyleLink w:val="ListAllLetter3Level"/>
  </w:abstractNum>
  <w:abstractNum w:abstractNumId="46" w15:restartNumberingAfterBreak="0">
    <w:nsid w:val="7CB15E02"/>
    <w:multiLevelType w:val="multilevel"/>
    <w:tmpl w:val="DC821EBC"/>
    <w:numStyleLink w:val="TableListAllBullets3Level"/>
  </w:abstractNum>
  <w:abstractNum w:abstractNumId="47"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FCB6A6B"/>
    <w:multiLevelType w:val="multilevel"/>
    <w:tmpl w:val="620CC31C"/>
    <w:numStyleLink w:val="ListAllBullets3Level"/>
  </w:abstractNum>
  <w:num w:numId="1">
    <w:abstractNumId w:val="9"/>
  </w:num>
  <w:num w:numId="2">
    <w:abstractNumId w:val="19"/>
  </w:num>
  <w:num w:numId="3">
    <w:abstractNumId w:val="36"/>
  </w:num>
  <w:num w:numId="4">
    <w:abstractNumId w:val="3"/>
  </w:num>
  <w:num w:numId="5">
    <w:abstractNumId w:val="13"/>
  </w:num>
  <w:num w:numId="6">
    <w:abstractNumId w:val="31"/>
  </w:num>
  <w:num w:numId="7">
    <w:abstractNumId w:val="12"/>
  </w:num>
  <w:num w:numId="8">
    <w:abstractNumId w:val="7"/>
  </w:num>
  <w:num w:numId="9">
    <w:abstractNumId w:val="47"/>
  </w:num>
  <w:num w:numId="10">
    <w:abstractNumId w:val="46"/>
  </w:num>
  <w:num w:numId="11">
    <w:abstractNumId w:val="20"/>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1"/>
  </w:num>
  <w:num w:numId="17">
    <w:abstractNumId w:val="26"/>
  </w:num>
  <w:num w:numId="18">
    <w:abstractNumId w:val="0"/>
  </w:num>
  <w:num w:numId="19">
    <w:abstractNumId w:val="45"/>
  </w:num>
  <w:num w:numId="20">
    <w:abstractNumId w:val="48"/>
  </w:num>
  <w:num w:numId="21">
    <w:abstractNumId w:val="39"/>
  </w:num>
  <w:num w:numId="22">
    <w:abstractNumId w:val="32"/>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5"/>
  </w:num>
  <w:num w:numId="24">
    <w:abstractNumId w:val="1"/>
  </w:num>
  <w:num w:numId="25">
    <w:abstractNumId w:val="25"/>
  </w:num>
  <w:num w:numId="26">
    <w:abstractNumId w:val="37"/>
  </w:num>
  <w:num w:numId="27">
    <w:abstractNumId w:val="10"/>
  </w:num>
  <w:num w:numId="28">
    <w:abstractNumId w:val="21"/>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9"/>
  </w:num>
  <w:num w:numId="31">
    <w:abstractNumId w:val="17"/>
  </w:num>
  <w:num w:numId="32">
    <w:abstractNumId w:val="2"/>
  </w:num>
  <w:num w:numId="33">
    <w:abstractNumId w:val="43"/>
  </w:num>
  <w:num w:numId="34">
    <w:abstractNumId w:val="27"/>
  </w:num>
  <w:num w:numId="35">
    <w:abstractNumId w:val="22"/>
  </w:num>
  <w:num w:numId="36">
    <w:abstractNumId w:val="33"/>
  </w:num>
  <w:num w:numId="37">
    <w:abstractNumId w:val="5"/>
  </w:num>
  <w:num w:numId="38">
    <w:abstractNumId w:val="6"/>
  </w:num>
  <w:num w:numId="39">
    <w:abstractNumId w:val="16"/>
  </w:num>
  <w:num w:numId="40">
    <w:abstractNumId w:val="24"/>
  </w:num>
  <w:num w:numId="41">
    <w:abstractNumId w:val="44"/>
  </w:num>
  <w:num w:numId="42">
    <w:abstractNumId w:val="42"/>
  </w:num>
  <w:num w:numId="43">
    <w:abstractNumId w:val="40"/>
  </w:num>
  <w:num w:numId="44">
    <w:abstractNumId w:val="34"/>
  </w:num>
  <w:num w:numId="45">
    <w:abstractNumId w:val="30"/>
  </w:num>
  <w:num w:numId="46">
    <w:abstractNumId w:val="38"/>
  </w:num>
  <w:num w:numId="47">
    <w:abstractNumId w:val="28"/>
  </w:num>
  <w:num w:numId="48">
    <w:abstractNumId w:val="23"/>
  </w:num>
  <w:num w:numId="49">
    <w:abstractNumId w:val="14"/>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32FFF"/>
    <w:rsid w:val="00042CEB"/>
    <w:rsid w:val="0006499F"/>
    <w:rsid w:val="00066DBE"/>
    <w:rsid w:val="00070044"/>
    <w:rsid w:val="0007165A"/>
    <w:rsid w:val="000764A0"/>
    <w:rsid w:val="000913ED"/>
    <w:rsid w:val="000925E6"/>
    <w:rsid w:val="00096FC7"/>
    <w:rsid w:val="000B047B"/>
    <w:rsid w:val="000B71E8"/>
    <w:rsid w:val="000D3AB0"/>
    <w:rsid w:val="000E1CE3"/>
    <w:rsid w:val="0010528D"/>
    <w:rsid w:val="00115E98"/>
    <w:rsid w:val="00125B5A"/>
    <w:rsid w:val="00133AE0"/>
    <w:rsid w:val="00172FEB"/>
    <w:rsid w:val="00176CC5"/>
    <w:rsid w:val="001A188E"/>
    <w:rsid w:val="001A4752"/>
    <w:rsid w:val="001A697D"/>
    <w:rsid w:val="001B1393"/>
    <w:rsid w:val="001C6957"/>
    <w:rsid w:val="001C6D5F"/>
    <w:rsid w:val="001E3E78"/>
    <w:rsid w:val="001F2035"/>
    <w:rsid w:val="0021084E"/>
    <w:rsid w:val="00216756"/>
    <w:rsid w:val="00216F79"/>
    <w:rsid w:val="00217457"/>
    <w:rsid w:val="00231903"/>
    <w:rsid w:val="00232573"/>
    <w:rsid w:val="00234B98"/>
    <w:rsid w:val="002405CD"/>
    <w:rsid w:val="002407FF"/>
    <w:rsid w:val="00261D96"/>
    <w:rsid w:val="00263235"/>
    <w:rsid w:val="002669B1"/>
    <w:rsid w:val="00271868"/>
    <w:rsid w:val="002738CB"/>
    <w:rsid w:val="00273C11"/>
    <w:rsid w:val="00277E0F"/>
    <w:rsid w:val="00282599"/>
    <w:rsid w:val="00287680"/>
    <w:rsid w:val="002A50A0"/>
    <w:rsid w:val="002E074D"/>
    <w:rsid w:val="002E0B83"/>
    <w:rsid w:val="002F2356"/>
    <w:rsid w:val="0030503A"/>
    <w:rsid w:val="003108B7"/>
    <w:rsid w:val="00315F53"/>
    <w:rsid w:val="00322F9D"/>
    <w:rsid w:val="003231FA"/>
    <w:rsid w:val="003323B1"/>
    <w:rsid w:val="00336228"/>
    <w:rsid w:val="00350E10"/>
    <w:rsid w:val="00353489"/>
    <w:rsid w:val="00361264"/>
    <w:rsid w:val="00363C04"/>
    <w:rsid w:val="003717FA"/>
    <w:rsid w:val="00376A0A"/>
    <w:rsid w:val="00383A3B"/>
    <w:rsid w:val="00391457"/>
    <w:rsid w:val="003960ED"/>
    <w:rsid w:val="003A5033"/>
    <w:rsid w:val="003C340E"/>
    <w:rsid w:val="003D1729"/>
    <w:rsid w:val="003E0E9D"/>
    <w:rsid w:val="003E3C82"/>
    <w:rsid w:val="003F3227"/>
    <w:rsid w:val="00400CF8"/>
    <w:rsid w:val="004030EB"/>
    <w:rsid w:val="00403422"/>
    <w:rsid w:val="004525EA"/>
    <w:rsid w:val="00456933"/>
    <w:rsid w:val="00456A07"/>
    <w:rsid w:val="00476B2F"/>
    <w:rsid w:val="00477792"/>
    <w:rsid w:val="004D7425"/>
    <w:rsid w:val="004E3F40"/>
    <w:rsid w:val="004E49B7"/>
    <w:rsid w:val="004F4085"/>
    <w:rsid w:val="00501027"/>
    <w:rsid w:val="00521D18"/>
    <w:rsid w:val="005233EF"/>
    <w:rsid w:val="00526282"/>
    <w:rsid w:val="00530265"/>
    <w:rsid w:val="00534C63"/>
    <w:rsid w:val="005424A4"/>
    <w:rsid w:val="005477A1"/>
    <w:rsid w:val="00556E72"/>
    <w:rsid w:val="005620A7"/>
    <w:rsid w:val="00575CE8"/>
    <w:rsid w:val="005815CB"/>
    <w:rsid w:val="00582599"/>
    <w:rsid w:val="00582E91"/>
    <w:rsid w:val="00586D39"/>
    <w:rsid w:val="0059511F"/>
    <w:rsid w:val="005C1DF1"/>
    <w:rsid w:val="005D3973"/>
    <w:rsid w:val="005D474C"/>
    <w:rsid w:val="005D59C0"/>
    <w:rsid w:val="005E7F89"/>
    <w:rsid w:val="0060080E"/>
    <w:rsid w:val="006066F0"/>
    <w:rsid w:val="0061185E"/>
    <w:rsid w:val="00622BC5"/>
    <w:rsid w:val="006262C1"/>
    <w:rsid w:val="00627EC8"/>
    <w:rsid w:val="00635475"/>
    <w:rsid w:val="00641639"/>
    <w:rsid w:val="00645A39"/>
    <w:rsid w:val="00653DDD"/>
    <w:rsid w:val="00666E20"/>
    <w:rsid w:val="00676214"/>
    <w:rsid w:val="00686875"/>
    <w:rsid w:val="006A6908"/>
    <w:rsid w:val="006C2B1A"/>
    <w:rsid w:val="006D2668"/>
    <w:rsid w:val="006D2FDF"/>
    <w:rsid w:val="006D52CB"/>
    <w:rsid w:val="006D553A"/>
    <w:rsid w:val="00723F1A"/>
    <w:rsid w:val="00730C95"/>
    <w:rsid w:val="007462A6"/>
    <w:rsid w:val="00760164"/>
    <w:rsid w:val="007672DC"/>
    <w:rsid w:val="0077261D"/>
    <w:rsid w:val="00785550"/>
    <w:rsid w:val="0079027A"/>
    <w:rsid w:val="00793FA9"/>
    <w:rsid w:val="00796D7D"/>
    <w:rsid w:val="007C4319"/>
    <w:rsid w:val="007D0963"/>
    <w:rsid w:val="007D76AC"/>
    <w:rsid w:val="007E6BE4"/>
    <w:rsid w:val="008078E3"/>
    <w:rsid w:val="00811807"/>
    <w:rsid w:val="008227F6"/>
    <w:rsid w:val="0082649D"/>
    <w:rsid w:val="00870878"/>
    <w:rsid w:val="0087558B"/>
    <w:rsid w:val="008807C8"/>
    <w:rsid w:val="008843E8"/>
    <w:rsid w:val="008A19A0"/>
    <w:rsid w:val="008A2C6D"/>
    <w:rsid w:val="008B00CE"/>
    <w:rsid w:val="008B3748"/>
    <w:rsid w:val="008B61BF"/>
    <w:rsid w:val="008D02E2"/>
    <w:rsid w:val="008F2753"/>
    <w:rsid w:val="008F36D9"/>
    <w:rsid w:val="008F47F2"/>
    <w:rsid w:val="00904118"/>
    <w:rsid w:val="0091452E"/>
    <w:rsid w:val="00926AFF"/>
    <w:rsid w:val="00940C46"/>
    <w:rsid w:val="00944A3A"/>
    <w:rsid w:val="00945942"/>
    <w:rsid w:val="00964483"/>
    <w:rsid w:val="0098641F"/>
    <w:rsid w:val="00996C59"/>
    <w:rsid w:val="009A030F"/>
    <w:rsid w:val="009A671A"/>
    <w:rsid w:val="009B39D2"/>
    <w:rsid w:val="009B6FF8"/>
    <w:rsid w:val="009B762E"/>
    <w:rsid w:val="009D26F2"/>
    <w:rsid w:val="009D2F0A"/>
    <w:rsid w:val="009E22DF"/>
    <w:rsid w:val="009E5C89"/>
    <w:rsid w:val="009E7805"/>
    <w:rsid w:val="00A00F46"/>
    <w:rsid w:val="00A12D4E"/>
    <w:rsid w:val="00A20B17"/>
    <w:rsid w:val="00A22EAB"/>
    <w:rsid w:val="00A27877"/>
    <w:rsid w:val="00A52AB4"/>
    <w:rsid w:val="00A61A5C"/>
    <w:rsid w:val="00A832D7"/>
    <w:rsid w:val="00A93658"/>
    <w:rsid w:val="00A9555C"/>
    <w:rsid w:val="00AA18F5"/>
    <w:rsid w:val="00AA6B2F"/>
    <w:rsid w:val="00AA7630"/>
    <w:rsid w:val="00AA7C6C"/>
    <w:rsid w:val="00AB20E7"/>
    <w:rsid w:val="00AB5329"/>
    <w:rsid w:val="00AC154D"/>
    <w:rsid w:val="00AC4DD9"/>
    <w:rsid w:val="00AC5414"/>
    <w:rsid w:val="00AD4D04"/>
    <w:rsid w:val="00AD7634"/>
    <w:rsid w:val="00AE06C1"/>
    <w:rsid w:val="00AE43B4"/>
    <w:rsid w:val="00AE72A9"/>
    <w:rsid w:val="00AE78C4"/>
    <w:rsid w:val="00AF7DD6"/>
    <w:rsid w:val="00B34098"/>
    <w:rsid w:val="00B4064C"/>
    <w:rsid w:val="00B46F54"/>
    <w:rsid w:val="00B52A32"/>
    <w:rsid w:val="00B67110"/>
    <w:rsid w:val="00B705E6"/>
    <w:rsid w:val="00B712C5"/>
    <w:rsid w:val="00B8333F"/>
    <w:rsid w:val="00B8519F"/>
    <w:rsid w:val="00BA36A9"/>
    <w:rsid w:val="00BB09C2"/>
    <w:rsid w:val="00BB468F"/>
    <w:rsid w:val="00BC17C8"/>
    <w:rsid w:val="00BC3ED2"/>
    <w:rsid w:val="00BC68B8"/>
    <w:rsid w:val="00BD257C"/>
    <w:rsid w:val="00BD5378"/>
    <w:rsid w:val="00BE327E"/>
    <w:rsid w:val="00BE6F04"/>
    <w:rsid w:val="00BF0295"/>
    <w:rsid w:val="00BF2FA5"/>
    <w:rsid w:val="00BF373B"/>
    <w:rsid w:val="00BF7B37"/>
    <w:rsid w:val="00C33EEE"/>
    <w:rsid w:val="00C34106"/>
    <w:rsid w:val="00C34247"/>
    <w:rsid w:val="00C352F9"/>
    <w:rsid w:val="00C50278"/>
    <w:rsid w:val="00C5054B"/>
    <w:rsid w:val="00C76378"/>
    <w:rsid w:val="00C81006"/>
    <w:rsid w:val="00C965C0"/>
    <w:rsid w:val="00CA107F"/>
    <w:rsid w:val="00CA3157"/>
    <w:rsid w:val="00CA4B9D"/>
    <w:rsid w:val="00CB4BD6"/>
    <w:rsid w:val="00CD30F9"/>
    <w:rsid w:val="00CE0F26"/>
    <w:rsid w:val="00D01D6F"/>
    <w:rsid w:val="00D04589"/>
    <w:rsid w:val="00D12160"/>
    <w:rsid w:val="00D124FD"/>
    <w:rsid w:val="00D137DA"/>
    <w:rsid w:val="00D15248"/>
    <w:rsid w:val="00D435F2"/>
    <w:rsid w:val="00D56593"/>
    <w:rsid w:val="00D67F00"/>
    <w:rsid w:val="00D8447C"/>
    <w:rsid w:val="00D86598"/>
    <w:rsid w:val="00DA20DD"/>
    <w:rsid w:val="00DC076F"/>
    <w:rsid w:val="00DC376C"/>
    <w:rsid w:val="00DE56ED"/>
    <w:rsid w:val="00DF1C54"/>
    <w:rsid w:val="00DF27E0"/>
    <w:rsid w:val="00DF40B1"/>
    <w:rsid w:val="00DF54D6"/>
    <w:rsid w:val="00DF5E3C"/>
    <w:rsid w:val="00E00EAD"/>
    <w:rsid w:val="00E57C45"/>
    <w:rsid w:val="00E63760"/>
    <w:rsid w:val="00E63F84"/>
    <w:rsid w:val="00E70EA9"/>
    <w:rsid w:val="00E8162F"/>
    <w:rsid w:val="00E84619"/>
    <w:rsid w:val="00E91A1B"/>
    <w:rsid w:val="00E92AA8"/>
    <w:rsid w:val="00E96F32"/>
    <w:rsid w:val="00EA319A"/>
    <w:rsid w:val="00EC0517"/>
    <w:rsid w:val="00ED06E5"/>
    <w:rsid w:val="00ED5C9C"/>
    <w:rsid w:val="00EE139A"/>
    <w:rsid w:val="00EE3AA3"/>
    <w:rsid w:val="00EF2FDD"/>
    <w:rsid w:val="00F15554"/>
    <w:rsid w:val="00F26E0E"/>
    <w:rsid w:val="00F30D7C"/>
    <w:rsid w:val="00F322FA"/>
    <w:rsid w:val="00F37CD0"/>
    <w:rsid w:val="00F44BA4"/>
    <w:rsid w:val="00F45A8D"/>
    <w:rsid w:val="00F517F4"/>
    <w:rsid w:val="00F64B7F"/>
    <w:rsid w:val="00F70E96"/>
    <w:rsid w:val="00F87D4E"/>
    <w:rsid w:val="00FA5570"/>
    <w:rsid w:val="00FA752B"/>
    <w:rsid w:val="00FB1E71"/>
    <w:rsid w:val="00FB66C6"/>
    <w:rsid w:val="00FC2AE6"/>
    <w:rsid w:val="00FC33D0"/>
    <w:rsid w:val="00FC5568"/>
    <w:rsid w:val="00FC5DE8"/>
    <w:rsid w:val="00FC7935"/>
    <w:rsid w:val="00FD107E"/>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B41E75"/>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character" w:styleId="CommentReference">
    <w:name w:val="annotation reference"/>
    <w:basedOn w:val="DefaultParagraphFont"/>
    <w:rsid w:val="0087558B"/>
    <w:rPr>
      <w:sz w:val="16"/>
      <w:szCs w:val="16"/>
    </w:rPr>
  </w:style>
  <w:style w:type="paragraph" w:styleId="CommentText">
    <w:name w:val="annotation text"/>
    <w:basedOn w:val="Normal"/>
    <w:link w:val="CommentTextChar"/>
    <w:rsid w:val="0087558B"/>
    <w:pPr>
      <w:spacing w:line="240" w:lineRule="auto"/>
    </w:pPr>
    <w:rPr>
      <w:szCs w:val="20"/>
    </w:rPr>
  </w:style>
  <w:style w:type="character" w:customStyle="1" w:styleId="CommentTextChar">
    <w:name w:val="Comment Text Char"/>
    <w:basedOn w:val="DefaultParagraphFont"/>
    <w:link w:val="CommentText"/>
    <w:rsid w:val="0087558B"/>
    <w:rPr>
      <w:rFonts w:ascii="Arial" w:hAnsi="Arial"/>
    </w:rPr>
  </w:style>
  <w:style w:type="paragraph" w:styleId="CommentSubject">
    <w:name w:val="annotation subject"/>
    <w:basedOn w:val="CommentText"/>
    <w:next w:val="CommentText"/>
    <w:link w:val="CommentSubjectChar"/>
    <w:rsid w:val="0087558B"/>
    <w:rPr>
      <w:b/>
      <w:bCs/>
    </w:rPr>
  </w:style>
  <w:style w:type="character" w:customStyle="1" w:styleId="CommentSubjectChar">
    <w:name w:val="Comment Subject Char"/>
    <w:basedOn w:val="CommentTextChar"/>
    <w:link w:val="CommentSubject"/>
    <w:rsid w:val="0087558B"/>
    <w:rPr>
      <w:rFonts w:ascii="Arial" w:hAnsi="Arial"/>
      <w:b/>
      <w:bCs/>
    </w:rPr>
  </w:style>
  <w:style w:type="paragraph" w:styleId="BalloonText">
    <w:name w:val="Balloon Text"/>
    <w:basedOn w:val="Normal"/>
    <w:link w:val="BalloonTextChar"/>
    <w:rsid w:val="00875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75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2566C-65BA-4499-A9E2-2EFE7455FA4D}">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c972935-d489-4a83-af2a-c34816ed2832"/>
    <ds:schemaRef ds:uri="http://purl.org/dc/dcmitype/"/>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F69D642F-6134-40C0-B41A-7A1984F9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43</TotalTime>
  <Pages>4</Pages>
  <Words>1405</Words>
  <Characters>7777</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C7810.S6</vt:lpstr>
    </vt:vector>
  </TitlesOfParts>
  <Company>Department of Transport and Main Roads</Company>
  <LinksUpToDate>false</LinksUpToDate>
  <CharactersWithSpaces>9116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C7810.S6</dc:title>
  <dc:subject>Queensland Code Compliance Schedule</dc:subject>
  <dc:creator>Department of Transport and Main Roads</dc:creator>
  <cp:keywords>RMPC; road; maintenance; performance; contract;</cp:keywords>
  <dc:description/>
  <cp:lastModifiedBy>Lisa-April X Mullan</cp:lastModifiedBy>
  <cp:revision>16</cp:revision>
  <cp:lastPrinted>2013-06-20T03:17:00Z</cp:lastPrinted>
  <dcterms:created xsi:type="dcterms:W3CDTF">2020-04-08T05:56:00Z</dcterms:created>
  <dcterms:modified xsi:type="dcterms:W3CDTF">2023-03-13T01:28:00Z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