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042C" w14:textId="5133B608" w:rsidR="00CD30F9" w:rsidRDefault="00EC2AA7" w:rsidP="003F1F4E">
      <w:pPr>
        <w:pStyle w:val="HeadingPartChapter"/>
        <w:spacing w:before="240" w:after="360"/>
      </w:pPr>
      <w:r>
        <w:t>Checklist</w:t>
      </w:r>
      <w:r w:rsidR="002D4232">
        <w:rPr>
          <w:rFonts w:hint="eastAsia"/>
        </w:rPr>
        <w:t> </w:t>
      </w:r>
      <w:r>
        <w:t>–</w:t>
      </w:r>
      <w:r w:rsidR="002D4232">
        <w:rPr>
          <w:rFonts w:hint="eastAsia"/>
        </w:rPr>
        <w:t> </w:t>
      </w:r>
      <w:r w:rsidR="000E01EA" w:rsidRPr="000E01EA">
        <w:t>CAC055M</w:t>
      </w:r>
      <w:r>
        <w:br/>
      </w:r>
      <w:r w:rsidR="000E01EA" w:rsidRPr="000E01EA">
        <w:t>Review</w:t>
      </w:r>
      <w:r w:rsidR="002D4232">
        <w:rPr>
          <w:rFonts w:hint="eastAsia"/>
        </w:rPr>
        <w:t> </w:t>
      </w:r>
      <w:r w:rsidR="000E01EA" w:rsidRPr="000E01EA">
        <w:t>of</w:t>
      </w:r>
      <w:r w:rsidR="002D4232">
        <w:rPr>
          <w:rFonts w:hint="eastAsia"/>
        </w:rPr>
        <w:t> </w:t>
      </w:r>
      <w:r w:rsidR="000E01EA" w:rsidRPr="000E01EA">
        <w:t>Temporary</w:t>
      </w:r>
      <w:r w:rsidR="002D4232">
        <w:rPr>
          <w:rFonts w:hint="eastAsia"/>
        </w:rPr>
        <w:t> </w:t>
      </w:r>
      <w:r w:rsidR="000E01EA" w:rsidRPr="000E01EA">
        <w:t>Barriers</w:t>
      </w:r>
      <w:r w:rsidR="002D4232">
        <w:rPr>
          <w:rFonts w:hint="eastAsia"/>
        </w:rPr>
        <w:t> </w:t>
      </w:r>
      <w:r w:rsidR="000E01EA" w:rsidRPr="000E01EA">
        <w:t>and</w:t>
      </w:r>
      <w:r w:rsidR="002D4232">
        <w:rPr>
          <w:rFonts w:hint="eastAsia"/>
        </w:rPr>
        <w:t> </w:t>
      </w:r>
      <w:r w:rsidR="000E01EA" w:rsidRPr="000E01EA">
        <w:t>Lighting</w:t>
      </w:r>
      <w:r w:rsidR="002D4232">
        <w:rPr>
          <w:rFonts w:hint="eastAsia"/>
        </w:rPr>
        <w:t> </w:t>
      </w:r>
      <w:r w:rsidR="000E01EA" w:rsidRPr="000E01EA">
        <w:t>(MRTS02</w:t>
      </w:r>
      <w:r w:rsidR="00BD6DEF">
        <w:t>, MUTCD Part</w:t>
      </w:r>
      <w:r w:rsidR="00BD6DEF">
        <w:rPr>
          <w:rFonts w:hint="eastAsia"/>
        </w:rPr>
        <w:t> </w:t>
      </w:r>
      <w:r w:rsidR="00BD6DEF">
        <w:t>3, QGTTM, AS</w:t>
      </w:r>
      <w:r w:rsidR="00BD6DEF">
        <w:rPr>
          <w:rFonts w:hint="eastAsia"/>
        </w:rPr>
        <w:t> </w:t>
      </w:r>
      <w:r w:rsidR="00BD6DEF">
        <w:t>3845, MRTS14, RPDM and TMR Accepted Road Barrier Systems and Devices</w:t>
      </w:r>
      <w:r w:rsidR="000E01EA" w:rsidRPr="000E01E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2551"/>
        <w:gridCol w:w="1843"/>
        <w:gridCol w:w="3507"/>
      </w:tblGrid>
      <w:tr w:rsidR="00825E2A" w14:paraId="53D5C45E" w14:textId="77777777" w:rsidTr="00881600">
        <w:tc>
          <w:tcPr>
            <w:tcW w:w="1555" w:type="dxa"/>
          </w:tcPr>
          <w:p w14:paraId="685DD3C3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7291E07D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615E16E4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551" w:type="dxa"/>
          </w:tcPr>
          <w:p w14:paraId="71A10FD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843" w:type="dxa"/>
          </w:tcPr>
          <w:p w14:paraId="4AEA1508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507" w:type="dxa"/>
          </w:tcPr>
          <w:p w14:paraId="1135B10C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3C4B0A6" w14:textId="77777777" w:rsidTr="00881600">
        <w:tc>
          <w:tcPr>
            <w:tcW w:w="1555" w:type="dxa"/>
          </w:tcPr>
          <w:p w14:paraId="4ADB2E07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5581A140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691404DD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551" w:type="dxa"/>
          </w:tcPr>
          <w:p w14:paraId="400B92B6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843" w:type="dxa"/>
          </w:tcPr>
          <w:p w14:paraId="170836B2" w14:textId="77777777" w:rsidR="00825E2A" w:rsidRPr="00825E2A" w:rsidRDefault="00825E2A" w:rsidP="005502A0">
            <w:pPr>
              <w:pStyle w:val="TableBodyText"/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507" w:type="dxa"/>
          </w:tcPr>
          <w:p w14:paraId="312717B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BB9B7DA" w14:textId="77777777" w:rsidR="00627391" w:rsidRDefault="00627391" w:rsidP="005502A0">
      <w:pPr>
        <w:pStyle w:val="TableBodyText"/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350"/>
      </w:tblGrid>
      <w:tr w:rsidR="00107514" w14:paraId="3FBDC957" w14:textId="77777777" w:rsidTr="00C957B5">
        <w:trPr>
          <w:tblHeader/>
        </w:trPr>
        <w:tc>
          <w:tcPr>
            <w:tcW w:w="1696" w:type="dxa"/>
          </w:tcPr>
          <w:p w14:paraId="77E95606" w14:textId="091B6A62" w:rsidR="003529DC" w:rsidRDefault="003529DC" w:rsidP="001E6893">
            <w:pPr>
              <w:pStyle w:val="TableHeading"/>
              <w:keepNext w:val="0"/>
              <w:keepLines w:val="0"/>
            </w:pPr>
            <w:r>
              <w:t>MRTS02</w:t>
            </w:r>
          </w:p>
          <w:p w14:paraId="4ECF2772" w14:textId="09E02B49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14:paraId="7C2926FD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14:paraId="51C9AB4D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5350" w:type="dxa"/>
          </w:tcPr>
          <w:p w14:paraId="40BD7852" w14:textId="3CF6688D" w:rsidR="00107514" w:rsidRDefault="00107514" w:rsidP="00107514">
            <w:pPr>
              <w:pStyle w:val="TableHeading"/>
            </w:pPr>
            <w:r>
              <w:t>Comments</w:t>
            </w:r>
            <w:r w:rsidR="00E17D67">
              <w:t> </w:t>
            </w:r>
            <w:r>
              <w:t>/</w:t>
            </w:r>
            <w:r w:rsidR="00E17D67">
              <w:t> </w:t>
            </w:r>
            <w:r>
              <w:t>Observations</w:t>
            </w:r>
          </w:p>
        </w:tc>
      </w:tr>
      <w:tr w:rsidR="000E01EA" w14:paraId="45AFB90D" w14:textId="77777777" w:rsidTr="000E01EA">
        <w:tc>
          <w:tcPr>
            <w:tcW w:w="1696" w:type="dxa"/>
            <w:vMerge w:val="restart"/>
            <w:vAlign w:val="top"/>
          </w:tcPr>
          <w:p w14:paraId="6EE1E97E" w14:textId="77777777" w:rsidR="000E01EA" w:rsidRPr="00560926" w:rsidRDefault="005502A0" w:rsidP="000E01EA">
            <w:pPr>
              <w:pStyle w:val="TableBodyText"/>
              <w:keepNext w:val="0"/>
              <w:keepLines w:val="0"/>
              <w:jc w:val="center"/>
            </w:pPr>
            <w:r>
              <w:t>Clause </w:t>
            </w:r>
            <w:r w:rsidR="000E01EA" w:rsidRPr="000E01EA">
              <w:t>6.5.11.2</w:t>
            </w:r>
          </w:p>
        </w:tc>
        <w:tc>
          <w:tcPr>
            <w:tcW w:w="5300" w:type="dxa"/>
            <w:vAlign w:val="top"/>
          </w:tcPr>
          <w:p w14:paraId="6BC76D46" w14:textId="0BBF3E3A" w:rsidR="001F3FC6" w:rsidRDefault="00865306" w:rsidP="005502A0">
            <w:pPr>
              <w:pStyle w:val="TableBodyText"/>
            </w:pPr>
            <w:r>
              <w:t>Have</w:t>
            </w:r>
            <w:r w:rsidR="000E01EA" w:rsidRPr="00DD7060">
              <w:t xml:space="preserve"> </w:t>
            </w:r>
            <w:r w:rsidR="00E22C83">
              <w:t>Temporary Road Safety Barrier</w:t>
            </w:r>
            <w:r>
              <w:t>s</w:t>
            </w:r>
            <w:r w:rsidR="002D4232">
              <w:t> </w:t>
            </w:r>
            <w:r w:rsidR="00E22C83">
              <w:t xml:space="preserve">(TRSB) </w:t>
            </w:r>
            <w:r w:rsidR="000E01EA" w:rsidRPr="00DD7060">
              <w:t>been installed</w:t>
            </w:r>
            <w:r w:rsidR="001F3FC6">
              <w:t>:</w:t>
            </w:r>
          </w:p>
          <w:p w14:paraId="5CB802D9" w14:textId="5C8C20BB" w:rsidR="00E22C83" w:rsidRDefault="00E22C83" w:rsidP="00F57E77">
            <w:pPr>
              <w:pStyle w:val="TableBodyText"/>
              <w:numPr>
                <w:ilvl w:val="0"/>
                <w:numId w:val="32"/>
              </w:numPr>
            </w:pPr>
            <w:r>
              <w:t xml:space="preserve">at locations as per </w:t>
            </w:r>
            <w:r w:rsidR="005502A0">
              <w:t>Clause </w:t>
            </w:r>
            <w:r>
              <w:t>5.</w:t>
            </w:r>
            <w:r w:rsidR="00BD6DEF">
              <w:t>10</w:t>
            </w:r>
            <w:r>
              <w:t xml:space="preserve"> of Annexure</w:t>
            </w:r>
            <w:r w:rsidR="002D4232">
              <w:t> </w:t>
            </w:r>
            <w:r>
              <w:t>MRTS02.1</w:t>
            </w:r>
            <w:r w:rsidR="003529DC">
              <w:t>?</w:t>
            </w:r>
          </w:p>
          <w:p w14:paraId="1A5238BE" w14:textId="166F5D9A" w:rsidR="00E22C83" w:rsidRDefault="00E22C83" w:rsidP="00F57E77">
            <w:pPr>
              <w:pStyle w:val="TableBodyText"/>
              <w:numPr>
                <w:ilvl w:val="0"/>
                <w:numId w:val="32"/>
              </w:numPr>
            </w:pPr>
            <w:r>
              <w:t xml:space="preserve">at locations for worker </w:t>
            </w:r>
            <w:r w:rsidR="009B2B75">
              <w:t xml:space="preserve">or road user </w:t>
            </w:r>
            <w:r>
              <w:t>safety requirements</w:t>
            </w:r>
            <w:r w:rsidR="00981B49">
              <w:t>,</w:t>
            </w:r>
            <w:r>
              <w:t xml:space="preserve"> </w:t>
            </w:r>
            <w:r w:rsidR="009B2B75">
              <w:t xml:space="preserve">as per the </w:t>
            </w:r>
            <w:r w:rsidR="00881600">
              <w:t>QGTTM</w:t>
            </w:r>
            <w:r w:rsidR="002D4232">
              <w:t> </w:t>
            </w:r>
            <w:r w:rsidR="00881600">
              <w:t>Part 3</w:t>
            </w:r>
            <w:r w:rsidR="004C1D65">
              <w:t>?</w:t>
            </w:r>
          </w:p>
          <w:p w14:paraId="5F5798CE" w14:textId="63A69A70" w:rsidR="000E01EA" w:rsidRPr="00DD7060" w:rsidRDefault="00E22C83" w:rsidP="00F57E77">
            <w:pPr>
              <w:pStyle w:val="TableBodyText"/>
              <w:numPr>
                <w:ilvl w:val="0"/>
                <w:numId w:val="32"/>
              </w:numPr>
            </w:pPr>
            <w:r>
              <w:t>at locations</w:t>
            </w:r>
            <w:r w:rsidR="00865306">
              <w:t xml:space="preserve"> where a risk assessment determines that TRSB</w:t>
            </w:r>
            <w:r w:rsidR="00981B49">
              <w:t>s</w:t>
            </w:r>
            <w:r w:rsidR="00E17D67">
              <w:t> </w:t>
            </w:r>
            <w:r w:rsidR="00865306">
              <w:t xml:space="preserve">are the most appropriate </w:t>
            </w:r>
            <w:r w:rsidR="007F6130">
              <w:t xml:space="preserve">method of separation between </w:t>
            </w:r>
            <w:r w:rsidR="009B2B75">
              <w:t xml:space="preserve">road users </w:t>
            </w:r>
            <w:r w:rsidR="007F6130">
              <w:t>and the work site</w:t>
            </w:r>
            <w:r w:rsidR="00981B49">
              <w:t>,</w:t>
            </w:r>
            <w:r w:rsidR="007F6130">
              <w:t xml:space="preserve"> or other hazards</w:t>
            </w:r>
            <w:r w:rsidR="004C1D65">
              <w:t>?</w:t>
            </w:r>
          </w:p>
        </w:tc>
        <w:tc>
          <w:tcPr>
            <w:tcW w:w="1646" w:type="dxa"/>
            <w:vAlign w:val="top"/>
          </w:tcPr>
          <w:p w14:paraId="3E8DF120" w14:textId="77777777" w:rsidR="000E01EA" w:rsidRDefault="000E01EA" w:rsidP="000E01E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66682DBE" w14:textId="77777777" w:rsidR="000E01EA" w:rsidRDefault="000E01EA" w:rsidP="000E01EA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0E01EA" w14:paraId="18719853" w14:textId="77777777" w:rsidTr="000E01EA">
        <w:tc>
          <w:tcPr>
            <w:tcW w:w="1696" w:type="dxa"/>
            <w:vMerge/>
            <w:vAlign w:val="top"/>
          </w:tcPr>
          <w:p w14:paraId="015AF833" w14:textId="77777777" w:rsidR="000E01EA" w:rsidRPr="00560926" w:rsidRDefault="000E01EA" w:rsidP="000E01E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00" w:type="dxa"/>
            <w:vAlign w:val="top"/>
          </w:tcPr>
          <w:p w14:paraId="19F07327" w14:textId="6CCB2C78" w:rsidR="000E01EA" w:rsidRPr="00DD7060" w:rsidRDefault="000E01EA" w:rsidP="005502A0">
            <w:pPr>
              <w:pStyle w:val="TableBodyText"/>
            </w:pPr>
            <w:r w:rsidRPr="00DD7060">
              <w:t>Where opposing flows of traffic are separated with temporary barriers</w:t>
            </w:r>
            <w:r w:rsidR="00981B49">
              <w:t>,</w:t>
            </w:r>
            <w:r w:rsidRPr="00DD7060">
              <w:t xml:space="preserve"> has sufficient offset been provided to reduce the likelihood that barriers deflect into opposing traffic flow in the event of impact?</w:t>
            </w:r>
          </w:p>
        </w:tc>
        <w:tc>
          <w:tcPr>
            <w:tcW w:w="1646" w:type="dxa"/>
            <w:vAlign w:val="top"/>
          </w:tcPr>
          <w:p w14:paraId="387E629B" w14:textId="77777777" w:rsidR="000E01EA" w:rsidRDefault="000E01EA" w:rsidP="000E01E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6399A591" w14:textId="77777777" w:rsidR="000E01EA" w:rsidRDefault="000E01EA" w:rsidP="000E01EA">
            <w:pPr>
              <w:pStyle w:val="TableBodyText"/>
              <w:keepNext w:val="0"/>
              <w:keepLines w:val="0"/>
            </w:pPr>
          </w:p>
        </w:tc>
      </w:tr>
      <w:tr w:rsidR="000E01EA" w14:paraId="1C7D19E0" w14:textId="77777777" w:rsidTr="000E01EA">
        <w:tc>
          <w:tcPr>
            <w:tcW w:w="1696" w:type="dxa"/>
            <w:vMerge/>
            <w:vAlign w:val="top"/>
          </w:tcPr>
          <w:p w14:paraId="58ED6A2A" w14:textId="77777777" w:rsidR="000E01EA" w:rsidRDefault="000E01EA" w:rsidP="000E01E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00" w:type="dxa"/>
            <w:vAlign w:val="top"/>
          </w:tcPr>
          <w:p w14:paraId="270EA813" w14:textId="617B532E" w:rsidR="000E01EA" w:rsidRPr="00DD7060" w:rsidRDefault="000E01EA" w:rsidP="005502A0">
            <w:pPr>
              <w:pStyle w:val="TableBodyText"/>
            </w:pPr>
            <w:r w:rsidRPr="00DD7060">
              <w:t>When barriers are used to protect the works site</w:t>
            </w:r>
            <w:r w:rsidR="009B2B75">
              <w:t xml:space="preserve"> and/or temporary VRU</w:t>
            </w:r>
            <w:r w:rsidR="00E17D67">
              <w:t> </w:t>
            </w:r>
            <w:r w:rsidR="009B2B75">
              <w:t>paths</w:t>
            </w:r>
            <w:r w:rsidRPr="00DD7060">
              <w:t xml:space="preserve">, has the required </w:t>
            </w:r>
            <w:r w:rsidR="009B2B75">
              <w:t>deflection</w:t>
            </w:r>
            <w:r w:rsidRPr="00DD7060">
              <w:t xml:space="preserve"> zone</w:t>
            </w:r>
            <w:r w:rsidR="00BD6DEF">
              <w:t xml:space="preserve"> (or working width, as applicable)</w:t>
            </w:r>
            <w:r w:rsidRPr="00DD7060">
              <w:t xml:space="preserve"> behind the barrier been maintained?</w:t>
            </w:r>
          </w:p>
        </w:tc>
        <w:tc>
          <w:tcPr>
            <w:tcW w:w="1646" w:type="dxa"/>
            <w:vAlign w:val="top"/>
          </w:tcPr>
          <w:p w14:paraId="78529A12" w14:textId="77777777" w:rsidR="000E01EA" w:rsidRDefault="000E01EA" w:rsidP="000E01E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13ED9516" w14:textId="77777777" w:rsidR="000E01EA" w:rsidRDefault="000E01EA" w:rsidP="000E01EA">
            <w:pPr>
              <w:pStyle w:val="TableBodyText"/>
              <w:keepNext w:val="0"/>
              <w:keepLines w:val="0"/>
            </w:pPr>
          </w:p>
        </w:tc>
      </w:tr>
      <w:tr w:rsidR="000E01EA" w14:paraId="47742455" w14:textId="77777777" w:rsidTr="000E01EA">
        <w:tc>
          <w:tcPr>
            <w:tcW w:w="1696" w:type="dxa"/>
            <w:vMerge w:val="restart"/>
            <w:vAlign w:val="top"/>
          </w:tcPr>
          <w:p w14:paraId="065678A6" w14:textId="77777777" w:rsidR="000E01EA" w:rsidRPr="00417B48" w:rsidRDefault="005502A0" w:rsidP="0003266D">
            <w:pPr>
              <w:pStyle w:val="TableBodyText"/>
              <w:jc w:val="center"/>
            </w:pPr>
            <w:r>
              <w:lastRenderedPageBreak/>
              <w:t>Clause </w:t>
            </w:r>
            <w:r w:rsidR="000E01EA" w:rsidRPr="000E01EA">
              <w:t>6.5.11.3</w:t>
            </w:r>
          </w:p>
        </w:tc>
        <w:tc>
          <w:tcPr>
            <w:tcW w:w="5300" w:type="dxa"/>
            <w:vAlign w:val="top"/>
          </w:tcPr>
          <w:p w14:paraId="3E5F3CB7" w14:textId="33F8D723" w:rsidR="000E01EA" w:rsidRPr="00DD7060" w:rsidRDefault="00C844C9" w:rsidP="0003266D">
            <w:pPr>
              <w:pStyle w:val="TableBodyText"/>
            </w:pPr>
            <w:r>
              <w:t xml:space="preserve">Have only temporary road safety barriers that are included in </w:t>
            </w:r>
            <w:r w:rsidR="000E01EA" w:rsidRPr="00DD7060">
              <w:t xml:space="preserve">the </w:t>
            </w:r>
            <w:r w:rsidR="00BD6DEF">
              <w:rPr>
                <w:rStyle w:val="BodyTextitalic"/>
              </w:rPr>
              <w:t xml:space="preserve">TMR Accepted </w:t>
            </w:r>
            <w:r w:rsidR="000E01EA" w:rsidRPr="000E01EA">
              <w:rPr>
                <w:rStyle w:val="BodyTextitalic"/>
              </w:rPr>
              <w:t>Road Safety Barrier Systems</w:t>
            </w:r>
            <w:r w:rsidR="008073B2">
              <w:rPr>
                <w:rStyle w:val="BodyTextitalic"/>
              </w:rPr>
              <w:t> </w:t>
            </w:r>
            <w:r w:rsidR="00BD6DEF">
              <w:rPr>
                <w:rStyle w:val="BodyTextitalic"/>
              </w:rPr>
              <w:t xml:space="preserve">and </w:t>
            </w:r>
            <w:r w:rsidR="000E01EA" w:rsidRPr="000E01EA">
              <w:rPr>
                <w:rStyle w:val="BodyTextitalic"/>
              </w:rPr>
              <w:t>Devices</w:t>
            </w:r>
            <w:r w:rsidR="00773BA4">
              <w:rPr>
                <w:rStyle w:val="BodyTextitalic"/>
              </w:rPr>
              <w:t>,</w:t>
            </w:r>
            <w:r>
              <w:rPr>
                <w:rStyle w:val="BodyTextitalic"/>
              </w:rPr>
              <w:t xml:space="preserve"> </w:t>
            </w:r>
            <w:r>
              <w:rPr>
                <w:rStyle w:val="BodyTextitalic"/>
                <w:i w:val="0"/>
              </w:rPr>
              <w:t>been used</w:t>
            </w:r>
            <w:r w:rsidR="000E01EA" w:rsidRPr="00DD7060">
              <w:t>?</w:t>
            </w:r>
          </w:p>
        </w:tc>
        <w:tc>
          <w:tcPr>
            <w:tcW w:w="1646" w:type="dxa"/>
            <w:vAlign w:val="top"/>
          </w:tcPr>
          <w:p w14:paraId="66A90C19" w14:textId="77777777" w:rsidR="000E01EA" w:rsidRDefault="000E01EA" w:rsidP="000E01E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7E421031" w14:textId="77777777" w:rsidR="000E01EA" w:rsidRDefault="000E01EA" w:rsidP="000E01EA">
            <w:pPr>
              <w:pStyle w:val="TableBodyText"/>
              <w:keepNext w:val="0"/>
              <w:keepLines w:val="0"/>
            </w:pPr>
          </w:p>
        </w:tc>
      </w:tr>
      <w:tr w:rsidR="000E01EA" w14:paraId="74A57A1F" w14:textId="77777777" w:rsidTr="000E01EA">
        <w:tc>
          <w:tcPr>
            <w:tcW w:w="1696" w:type="dxa"/>
            <w:vMerge/>
            <w:vAlign w:val="top"/>
          </w:tcPr>
          <w:p w14:paraId="4DA2A685" w14:textId="77777777" w:rsidR="000E01EA" w:rsidRPr="00417B48" w:rsidRDefault="000E01EA" w:rsidP="000E01E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00" w:type="dxa"/>
            <w:vAlign w:val="top"/>
          </w:tcPr>
          <w:p w14:paraId="73DB2DC1" w14:textId="77777777" w:rsidR="000E01EA" w:rsidRPr="00DD7060" w:rsidRDefault="00C844C9" w:rsidP="005502A0">
            <w:pPr>
              <w:pStyle w:val="TableBodyText"/>
            </w:pPr>
            <w:r>
              <w:t>If</w:t>
            </w:r>
            <w:r w:rsidR="000E01EA" w:rsidRPr="00DD7060">
              <w:t xml:space="preserve"> </w:t>
            </w:r>
            <w:r>
              <w:t>S</w:t>
            </w:r>
            <w:r w:rsidR="000E01EA" w:rsidRPr="00DD7060">
              <w:t xml:space="preserve">teel </w:t>
            </w:r>
            <w:r>
              <w:t>B</w:t>
            </w:r>
            <w:r w:rsidR="000E01EA" w:rsidRPr="00DD7060">
              <w:t xml:space="preserve">eam </w:t>
            </w:r>
            <w:r>
              <w:t>G</w:t>
            </w:r>
            <w:r w:rsidR="000E01EA" w:rsidRPr="00DD7060">
              <w:t xml:space="preserve">uard rail </w:t>
            </w:r>
            <w:r>
              <w:t xml:space="preserve">has </w:t>
            </w:r>
            <w:r w:rsidR="000E01EA" w:rsidRPr="00DD7060">
              <w:t xml:space="preserve">been used </w:t>
            </w:r>
            <w:r>
              <w:t xml:space="preserve">instead of </w:t>
            </w:r>
            <w:r w:rsidR="000E01EA" w:rsidRPr="00DD7060">
              <w:t>temporary road safety barriers</w:t>
            </w:r>
            <w:r>
              <w:t>, has approval by the Administrator been granted</w:t>
            </w:r>
            <w:r w:rsidR="000E01EA" w:rsidRPr="00DD7060">
              <w:t xml:space="preserve">? </w:t>
            </w:r>
          </w:p>
        </w:tc>
        <w:tc>
          <w:tcPr>
            <w:tcW w:w="1646" w:type="dxa"/>
            <w:vAlign w:val="top"/>
          </w:tcPr>
          <w:p w14:paraId="3A774577" w14:textId="77777777" w:rsidR="000E01EA" w:rsidRDefault="000E01EA" w:rsidP="000E01E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0CB0C5EB" w14:textId="77777777" w:rsidR="000E01EA" w:rsidRDefault="000E01EA" w:rsidP="000E01EA">
            <w:pPr>
              <w:pStyle w:val="TableBodyText"/>
              <w:keepNext w:val="0"/>
              <w:keepLines w:val="0"/>
            </w:pPr>
          </w:p>
        </w:tc>
      </w:tr>
      <w:tr w:rsidR="000E01EA" w14:paraId="2A1D4641" w14:textId="77777777" w:rsidTr="000E01EA">
        <w:tc>
          <w:tcPr>
            <w:tcW w:w="1696" w:type="dxa"/>
            <w:vAlign w:val="top"/>
          </w:tcPr>
          <w:p w14:paraId="0B4AE87B" w14:textId="77777777" w:rsidR="000E01EA" w:rsidRPr="00417B48" w:rsidRDefault="005502A0" w:rsidP="000953C5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0E01EA" w:rsidRPr="000E01EA">
              <w:t>6.5.11.4</w:t>
            </w:r>
          </w:p>
        </w:tc>
        <w:tc>
          <w:tcPr>
            <w:tcW w:w="5300" w:type="dxa"/>
            <w:vAlign w:val="top"/>
          </w:tcPr>
          <w:p w14:paraId="53C57BD7" w14:textId="727BF843" w:rsidR="000E01EA" w:rsidRPr="00DD7060" w:rsidRDefault="000E01EA" w:rsidP="005502A0">
            <w:pPr>
              <w:pStyle w:val="TableBodyText"/>
            </w:pPr>
            <w:r w:rsidRPr="00DD7060">
              <w:t xml:space="preserve">Are temporary road safety barrier end treatments in accordance with the </w:t>
            </w:r>
            <w:r w:rsidR="00BD6DEF">
              <w:rPr>
                <w:rStyle w:val="BodyTextitalic"/>
              </w:rPr>
              <w:t xml:space="preserve">TMR Accepted </w:t>
            </w:r>
            <w:r w:rsidR="00BD6DEF" w:rsidRPr="000E01EA">
              <w:rPr>
                <w:rStyle w:val="BodyTextitalic"/>
              </w:rPr>
              <w:t>Road Safety Barrier Systems</w:t>
            </w:r>
            <w:r w:rsidR="00BD6DEF">
              <w:rPr>
                <w:rStyle w:val="BodyTextitalic"/>
              </w:rPr>
              <w:t xml:space="preserve"> and </w:t>
            </w:r>
            <w:r w:rsidR="00BD6DEF" w:rsidRPr="000E01EA">
              <w:rPr>
                <w:rStyle w:val="BodyTextitalic"/>
              </w:rPr>
              <w:t>Devices</w:t>
            </w:r>
            <w:r w:rsidRPr="00BD6DEF">
              <w:t>?</w:t>
            </w:r>
          </w:p>
        </w:tc>
        <w:tc>
          <w:tcPr>
            <w:tcW w:w="1646" w:type="dxa"/>
            <w:vAlign w:val="top"/>
          </w:tcPr>
          <w:p w14:paraId="5A2CDA0B" w14:textId="77777777" w:rsidR="000E01EA" w:rsidRPr="00107514" w:rsidRDefault="000E01EA" w:rsidP="000953C5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5350" w:type="dxa"/>
            <w:vAlign w:val="top"/>
          </w:tcPr>
          <w:p w14:paraId="05B5CA44" w14:textId="77777777" w:rsidR="000E01EA" w:rsidRPr="00107514" w:rsidRDefault="000E01EA" w:rsidP="000953C5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40450" w14:paraId="0FC7E3B0" w14:textId="77777777" w:rsidTr="000E01EA">
        <w:tc>
          <w:tcPr>
            <w:tcW w:w="1696" w:type="dxa"/>
            <w:vAlign w:val="top"/>
          </w:tcPr>
          <w:p w14:paraId="401D0441" w14:textId="77777777" w:rsidR="00C40450" w:rsidRPr="000E01EA" w:rsidRDefault="005502A0" w:rsidP="000953C5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C40450">
              <w:t>6.5.11.5</w:t>
            </w:r>
          </w:p>
        </w:tc>
        <w:tc>
          <w:tcPr>
            <w:tcW w:w="5300" w:type="dxa"/>
            <w:vAlign w:val="top"/>
          </w:tcPr>
          <w:p w14:paraId="343906E2" w14:textId="77777777" w:rsidR="00C40450" w:rsidRDefault="00C40450" w:rsidP="005502A0">
            <w:pPr>
              <w:pStyle w:val="TableBodyText"/>
            </w:pPr>
            <w:r>
              <w:t xml:space="preserve">Has the temporary road safety barrier </w:t>
            </w:r>
            <w:r w:rsidR="00202A8E">
              <w:t>placement been designed as per:</w:t>
            </w:r>
          </w:p>
          <w:p w14:paraId="0AC9DAB4" w14:textId="264EB909" w:rsidR="00202A8E" w:rsidRDefault="00202A8E" w:rsidP="00F52B7C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9"/>
              </w:numPr>
            </w:pPr>
            <w:r>
              <w:t>AS</w:t>
            </w:r>
            <w:r w:rsidR="005502A0">
              <w:t> </w:t>
            </w:r>
            <w:r>
              <w:t>3845</w:t>
            </w:r>
            <w:r w:rsidR="0051485F">
              <w:t> </w:t>
            </w:r>
            <w:r w:rsidR="0051485F" w:rsidRPr="0051485F">
              <w:rPr>
                <w:i/>
                <w:iCs/>
              </w:rPr>
              <w:t>Road safety barrier systems</w:t>
            </w:r>
            <w:r w:rsidR="00975002">
              <w:t>?</w:t>
            </w:r>
          </w:p>
          <w:p w14:paraId="7CD7F39E" w14:textId="65A313DC" w:rsidR="00202A8E" w:rsidRDefault="00202A8E" w:rsidP="000953C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9"/>
              </w:numPr>
            </w:pPr>
            <w:r>
              <w:t>MRTS14</w:t>
            </w:r>
            <w:r w:rsidR="005502A0">
              <w:t> </w:t>
            </w:r>
            <w:r w:rsidRPr="005502A0">
              <w:rPr>
                <w:rStyle w:val="BodyTextitalic"/>
              </w:rPr>
              <w:t>Roadside Furniture</w:t>
            </w:r>
            <w:r w:rsidR="00975002">
              <w:rPr>
                <w:rStyle w:val="BodyTextitalic"/>
              </w:rPr>
              <w:t>?</w:t>
            </w:r>
          </w:p>
          <w:p w14:paraId="03A9F880" w14:textId="318A6719" w:rsidR="00202A8E" w:rsidRDefault="00202A8E" w:rsidP="000953C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9"/>
              </w:numPr>
            </w:pPr>
            <w:r>
              <w:t xml:space="preserve">MUTCD </w:t>
            </w:r>
            <w:r w:rsidR="005502A0">
              <w:t>Part </w:t>
            </w:r>
            <w:r>
              <w:t xml:space="preserve">3 and </w:t>
            </w:r>
            <w:r w:rsidR="004C1D65">
              <w:t>the QGTTM</w:t>
            </w:r>
            <w:r w:rsidR="008073B2">
              <w:t> </w:t>
            </w:r>
            <w:r w:rsidR="004C1D65">
              <w:t>Part 3</w:t>
            </w:r>
            <w:r w:rsidR="00975002">
              <w:t>?</w:t>
            </w:r>
          </w:p>
          <w:p w14:paraId="2AAF02F8" w14:textId="540A2011" w:rsidR="00202A8E" w:rsidRDefault="00202A8E" w:rsidP="000953C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9"/>
              </w:numPr>
            </w:pPr>
            <w:r w:rsidRPr="00981B49">
              <w:rPr>
                <w:rStyle w:val="BodyTextitalic"/>
              </w:rPr>
              <w:t>Road Planning and Design Manual</w:t>
            </w:r>
            <w:r>
              <w:t xml:space="preserve"> </w:t>
            </w:r>
            <w:r w:rsidR="005502A0">
              <w:t>Volume </w:t>
            </w:r>
            <w:r>
              <w:t>3,</w:t>
            </w:r>
            <w:r w:rsidR="008073B2">
              <w:t> </w:t>
            </w:r>
            <w:r w:rsidR="005502A0">
              <w:t>Part </w:t>
            </w:r>
            <w:r>
              <w:t>6</w:t>
            </w:r>
            <w:r w:rsidR="00975002">
              <w:t>?</w:t>
            </w:r>
          </w:p>
          <w:p w14:paraId="1711ADFA" w14:textId="77777777" w:rsidR="000D0A92" w:rsidRDefault="000D0A92" w:rsidP="000953C5">
            <w:pPr>
              <w:pStyle w:val="TableBodyText"/>
              <w:keepNext w:val="0"/>
              <w:keepLines w:val="0"/>
              <w:widowControl w:val="0"/>
              <w:ind w:left="0"/>
            </w:pPr>
            <w:r>
              <w:t xml:space="preserve">Has the barrier type been determined </w:t>
            </w:r>
            <w:proofErr w:type="gramStart"/>
            <w:r>
              <w:t>on the basis of</w:t>
            </w:r>
            <w:proofErr w:type="gramEnd"/>
            <w:r>
              <w:t>:</w:t>
            </w:r>
          </w:p>
          <w:p w14:paraId="1C4C070C" w14:textId="2D507B36" w:rsidR="000D0A92" w:rsidRDefault="003F268B" w:rsidP="00773BA4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3"/>
              </w:numPr>
            </w:pPr>
            <w:r>
              <w:t>t</w:t>
            </w:r>
            <w:r w:rsidR="000D0A92">
              <w:t>he type, shape, deflection performance and test characteristics of the</w:t>
            </w:r>
            <w:r w:rsidR="00E17D67">
              <w:t> </w:t>
            </w:r>
            <w:r w:rsidR="000D0A92">
              <w:t>TRSB</w:t>
            </w:r>
            <w:r w:rsidR="00975002">
              <w:t>?</w:t>
            </w:r>
          </w:p>
          <w:p w14:paraId="2BB705D1" w14:textId="1E595D69" w:rsidR="000D0A92" w:rsidRDefault="003F268B" w:rsidP="00773BA4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3"/>
              </w:numPr>
            </w:pPr>
            <w:r>
              <w:t>the speed of traffic travelling through the work site</w:t>
            </w:r>
            <w:r w:rsidR="00975002">
              <w:t>?</w:t>
            </w:r>
          </w:p>
          <w:p w14:paraId="2766EE15" w14:textId="65613506" w:rsidR="003F268B" w:rsidRPr="00DD7060" w:rsidRDefault="003F268B" w:rsidP="00773BA4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3"/>
              </w:numPr>
            </w:pPr>
            <w:r>
              <w:t>the clearance between the traffic and the work area</w:t>
            </w:r>
            <w:r w:rsidR="00975002">
              <w:t>?</w:t>
            </w:r>
          </w:p>
        </w:tc>
        <w:tc>
          <w:tcPr>
            <w:tcW w:w="1646" w:type="dxa"/>
            <w:vAlign w:val="top"/>
          </w:tcPr>
          <w:p w14:paraId="32C85639" w14:textId="77777777" w:rsidR="00C40450" w:rsidRPr="00107514" w:rsidRDefault="00C40450" w:rsidP="000953C5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5350" w:type="dxa"/>
            <w:vAlign w:val="top"/>
          </w:tcPr>
          <w:p w14:paraId="4AA0A432" w14:textId="77777777" w:rsidR="00C40450" w:rsidRPr="00107514" w:rsidRDefault="00C40450" w:rsidP="000953C5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0E01EA" w14:paraId="1B26FC0E" w14:textId="77777777" w:rsidTr="000E01EA">
        <w:tc>
          <w:tcPr>
            <w:tcW w:w="1696" w:type="dxa"/>
            <w:vAlign w:val="top"/>
          </w:tcPr>
          <w:p w14:paraId="0276A265" w14:textId="77777777" w:rsidR="000E01EA" w:rsidRPr="00FB09F4" w:rsidRDefault="005502A0" w:rsidP="0003266D">
            <w:pPr>
              <w:pStyle w:val="TableBodyText"/>
              <w:jc w:val="center"/>
            </w:pPr>
            <w:r>
              <w:lastRenderedPageBreak/>
              <w:t>Clause </w:t>
            </w:r>
            <w:r w:rsidR="000E01EA" w:rsidRPr="000E01EA">
              <w:t>6.5.12</w:t>
            </w:r>
          </w:p>
        </w:tc>
        <w:tc>
          <w:tcPr>
            <w:tcW w:w="5300" w:type="dxa"/>
            <w:vAlign w:val="top"/>
          </w:tcPr>
          <w:p w14:paraId="1C40ACCC" w14:textId="12870926" w:rsidR="003F268B" w:rsidRDefault="003F268B" w:rsidP="0003266D">
            <w:pPr>
              <w:pStyle w:val="TableBodyText"/>
            </w:pPr>
            <w:r>
              <w:t xml:space="preserve">Have any requirement for </w:t>
            </w:r>
            <w:r w:rsidR="000E01EA" w:rsidRPr="00DD7060">
              <w:t>anti</w:t>
            </w:r>
            <w:r w:rsidR="008073B2">
              <w:noBreakHyphen/>
            </w:r>
            <w:r w:rsidR="000E01EA" w:rsidRPr="00DD7060">
              <w:t xml:space="preserve">gawking screens </w:t>
            </w:r>
            <w:r>
              <w:t>been identified as per:</w:t>
            </w:r>
          </w:p>
          <w:p w14:paraId="7831D91D" w14:textId="3DFB1372" w:rsidR="003F268B" w:rsidRDefault="005502A0" w:rsidP="0003266D">
            <w:pPr>
              <w:pStyle w:val="ListParagraph"/>
              <w:numPr>
                <w:ilvl w:val="0"/>
                <w:numId w:val="31"/>
              </w:numPr>
            </w:pPr>
            <w:r>
              <w:t>Clause </w:t>
            </w:r>
            <w:r w:rsidR="002836E9">
              <w:t>5.1</w:t>
            </w:r>
            <w:r w:rsidR="00BD6DEF">
              <w:t>1</w:t>
            </w:r>
            <w:r w:rsidR="002836E9">
              <w:t xml:space="preserve"> of Annexure</w:t>
            </w:r>
            <w:r w:rsidR="008073B2">
              <w:t> </w:t>
            </w:r>
            <w:r w:rsidR="002836E9">
              <w:t>MRTS02.1</w:t>
            </w:r>
            <w:r w:rsidR="00975002">
              <w:t>?</w:t>
            </w:r>
          </w:p>
          <w:p w14:paraId="2B63178F" w14:textId="633F6F24" w:rsidR="002836E9" w:rsidRDefault="00553A0C" w:rsidP="0003266D">
            <w:pPr>
              <w:pStyle w:val="ListParagraph"/>
              <w:numPr>
                <w:ilvl w:val="0"/>
                <w:numId w:val="31"/>
              </w:numPr>
            </w:pPr>
            <w:r>
              <w:t>w</w:t>
            </w:r>
            <w:r w:rsidR="002836E9">
              <w:t>here activities are being undertaken within 3.5</w:t>
            </w:r>
            <w:r w:rsidR="004C1D65">
              <w:t> </w:t>
            </w:r>
            <w:r>
              <w:t>metres of the lane edge line and such activities are likely to cause traffic delays</w:t>
            </w:r>
            <w:r w:rsidR="001E0A79">
              <w:t>,</w:t>
            </w:r>
            <w:r>
              <w:t xml:space="preserve"> or may be a visual distraction to drivers</w:t>
            </w:r>
            <w:r w:rsidR="00975002">
              <w:t>?</w:t>
            </w:r>
          </w:p>
          <w:p w14:paraId="138BA3B1" w14:textId="5F3AD95C" w:rsidR="000E01EA" w:rsidRPr="00DD7060" w:rsidRDefault="002861AC" w:rsidP="00DA03C5">
            <w:pPr>
              <w:pStyle w:val="TableBodyText"/>
              <w:numPr>
                <w:ilvl w:val="0"/>
                <w:numId w:val="31"/>
              </w:numPr>
            </w:pPr>
            <w:r>
              <w:t>and provided</w:t>
            </w:r>
            <w:r w:rsidR="000E01EA" w:rsidRPr="00DD7060">
              <w:t xml:space="preserve"> as per</w:t>
            </w:r>
            <w:r>
              <w:t xml:space="preserve"> </w:t>
            </w:r>
            <w:r w:rsidR="00975002">
              <w:t>the QGTTM</w:t>
            </w:r>
            <w:r w:rsidR="008073B2">
              <w:t> </w:t>
            </w:r>
            <w:r w:rsidR="00BD6DEF">
              <w:t>Part 3, Section</w:t>
            </w:r>
            <w:r w:rsidR="005502A0">
              <w:t> </w:t>
            </w:r>
            <w:r w:rsidR="00975002">
              <w:t xml:space="preserve">5.3.3 and </w:t>
            </w:r>
            <w:r w:rsidR="00975002" w:rsidRPr="00981B49">
              <w:rPr>
                <w:rStyle w:val="BodyTextitalic"/>
              </w:rPr>
              <w:t>Guidelines</w:t>
            </w:r>
            <w:r w:rsidR="008073B2" w:rsidRPr="00981B49">
              <w:rPr>
                <w:rStyle w:val="BodyTextitalic"/>
              </w:rPr>
              <w:t> </w:t>
            </w:r>
            <w:r w:rsidR="00975002" w:rsidRPr="00981B49">
              <w:rPr>
                <w:rStyle w:val="BodyTextitalic"/>
              </w:rPr>
              <w:t>–</w:t>
            </w:r>
            <w:r w:rsidR="008073B2" w:rsidRPr="00981B49">
              <w:rPr>
                <w:rStyle w:val="BodyTextitalic"/>
              </w:rPr>
              <w:t> </w:t>
            </w:r>
            <w:r w:rsidR="00975002" w:rsidRPr="00981B49">
              <w:rPr>
                <w:rStyle w:val="BodyTextitalic"/>
              </w:rPr>
              <w:t>Traffic Management at Works on Roads</w:t>
            </w:r>
            <w:r w:rsidR="00975002">
              <w:rPr>
                <w:i/>
                <w:iCs/>
              </w:rPr>
              <w:t xml:space="preserve"> </w:t>
            </w:r>
            <w:r w:rsidR="00975002" w:rsidRPr="00975002">
              <w:t>Chapter 1</w:t>
            </w:r>
            <w:r w:rsidR="000E01EA" w:rsidRPr="00DD7060">
              <w:t>?</w:t>
            </w:r>
          </w:p>
        </w:tc>
        <w:tc>
          <w:tcPr>
            <w:tcW w:w="1646" w:type="dxa"/>
            <w:vAlign w:val="top"/>
          </w:tcPr>
          <w:p w14:paraId="6F136F80" w14:textId="77777777" w:rsidR="000E01EA" w:rsidRDefault="000E01EA" w:rsidP="009A30F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57A9762A" w14:textId="77777777" w:rsidR="000E01EA" w:rsidRDefault="000E01EA" w:rsidP="000E01EA">
            <w:pPr>
              <w:pStyle w:val="TableBodyText"/>
            </w:pPr>
          </w:p>
        </w:tc>
      </w:tr>
      <w:tr w:rsidR="000E01EA" w14:paraId="1BD6A6B0" w14:textId="77777777" w:rsidTr="000E01EA">
        <w:tc>
          <w:tcPr>
            <w:tcW w:w="1696" w:type="dxa"/>
            <w:vAlign w:val="top"/>
          </w:tcPr>
          <w:p w14:paraId="41A073E9" w14:textId="77777777" w:rsidR="000E01EA" w:rsidRPr="003D7BBD" w:rsidRDefault="005502A0" w:rsidP="000E01EA">
            <w:pPr>
              <w:pStyle w:val="TableBodyText"/>
              <w:keepNext w:val="0"/>
              <w:keepLines w:val="0"/>
              <w:jc w:val="center"/>
            </w:pPr>
            <w:r>
              <w:t>Clause </w:t>
            </w:r>
            <w:r w:rsidR="000E01EA" w:rsidRPr="000E01EA">
              <w:t>6.5.13</w:t>
            </w:r>
          </w:p>
        </w:tc>
        <w:tc>
          <w:tcPr>
            <w:tcW w:w="5300" w:type="dxa"/>
            <w:vAlign w:val="top"/>
          </w:tcPr>
          <w:p w14:paraId="438B8EC8" w14:textId="6F1AF745" w:rsidR="009151E9" w:rsidRDefault="00BD6DEF" w:rsidP="005502A0">
            <w:pPr>
              <w:pStyle w:val="TableBodyText"/>
            </w:pPr>
            <w:r>
              <w:t>Does temporary road lighting comply with the requirements of QGTTM Part 3?</w:t>
            </w:r>
          </w:p>
          <w:p w14:paraId="788D0AFF" w14:textId="79F13C1D" w:rsidR="00BD6DEF" w:rsidRDefault="00BD6DEF" w:rsidP="005502A0">
            <w:pPr>
              <w:pStyle w:val="TableBodyText"/>
            </w:pPr>
            <w:r>
              <w:t>Has temporary road lighting been installed at conflict points, potential hazards, and other locations as specified in Clause 6.5.13.</w:t>
            </w:r>
          </w:p>
          <w:p w14:paraId="5BF16007" w14:textId="1EC17DD7" w:rsidR="005A108A" w:rsidRDefault="005A108A" w:rsidP="005502A0">
            <w:pPr>
              <w:pStyle w:val="TableBodyText"/>
            </w:pPr>
            <w:r>
              <w:t xml:space="preserve">In addition, has temporary road lighting been provided if </w:t>
            </w:r>
            <w:proofErr w:type="gramStart"/>
            <w:r>
              <w:t>so</w:t>
            </w:r>
            <w:proofErr w:type="gramEnd"/>
            <w:r>
              <w:t xml:space="preserve"> stated in </w:t>
            </w:r>
            <w:r w:rsidR="005502A0">
              <w:t>Clause </w:t>
            </w:r>
            <w:r>
              <w:t>5.1</w:t>
            </w:r>
            <w:r w:rsidR="00BD6DEF">
              <w:t>2</w:t>
            </w:r>
            <w:r>
              <w:t xml:space="preserve"> of Annexure</w:t>
            </w:r>
            <w:r w:rsidR="00EF3F49">
              <w:t> </w:t>
            </w:r>
            <w:r>
              <w:t>MRTS02.1?</w:t>
            </w:r>
          </w:p>
          <w:p w14:paraId="55FDD06C" w14:textId="2809C0C2" w:rsidR="000E01EA" w:rsidRDefault="005A108A" w:rsidP="005502A0">
            <w:pPr>
              <w:pStyle w:val="TableBodyText"/>
            </w:pPr>
            <w:r>
              <w:t xml:space="preserve">Has </w:t>
            </w:r>
            <w:proofErr w:type="gramStart"/>
            <w:r>
              <w:t>lead</w:t>
            </w:r>
            <w:proofErr w:type="gramEnd"/>
            <w:r w:rsidR="00975002">
              <w:noBreakHyphen/>
            </w:r>
            <w:r>
              <w:t xml:space="preserve">in lighting been provided as per </w:t>
            </w:r>
            <w:r w:rsidR="005502A0">
              <w:t>Clause </w:t>
            </w:r>
            <w:r>
              <w:t>6.5.13</w:t>
            </w:r>
            <w:r w:rsidR="00975002">
              <w:t>?</w:t>
            </w:r>
          </w:p>
        </w:tc>
        <w:tc>
          <w:tcPr>
            <w:tcW w:w="1646" w:type="dxa"/>
            <w:vAlign w:val="top"/>
          </w:tcPr>
          <w:p w14:paraId="05319DF3" w14:textId="77777777" w:rsidR="000E01EA" w:rsidRPr="008E0B12" w:rsidRDefault="000E01EA" w:rsidP="000E01E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5B85172B" w14:textId="77777777" w:rsidR="000E01EA" w:rsidRDefault="000E01EA" w:rsidP="000E01EA">
            <w:pPr>
              <w:pStyle w:val="TableBodyText"/>
              <w:keepNext w:val="0"/>
              <w:keepLines w:val="0"/>
            </w:pPr>
          </w:p>
        </w:tc>
      </w:tr>
    </w:tbl>
    <w:p w14:paraId="1438B8AA" w14:textId="77777777" w:rsidR="00EF3F49" w:rsidRDefault="00EF3F49" w:rsidP="00A4213B">
      <w:pPr>
        <w:pStyle w:val="BodyText"/>
        <w:rPr>
          <w:rStyle w:val="BodyTextbold"/>
        </w:rPr>
      </w:pPr>
    </w:p>
    <w:p w14:paraId="14C56E27" w14:textId="1B688811" w:rsidR="00A4213B" w:rsidRPr="00A4213B" w:rsidRDefault="00A4213B" w:rsidP="0051485F">
      <w:pPr>
        <w:pStyle w:val="BodyText"/>
        <w:keepNext/>
        <w:keepLines/>
        <w:widowControl w:val="0"/>
        <w:rPr>
          <w:rStyle w:val="BodyTextbold"/>
        </w:rPr>
      </w:pPr>
      <w:r w:rsidRPr="00A4213B">
        <w:rPr>
          <w:rStyle w:val="BodyTextbold"/>
        </w:rPr>
        <w:lastRenderedPageBreak/>
        <w:t>Additional issues for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96"/>
      </w:tblGrid>
      <w:tr w:rsidR="00A4213B" w:rsidRPr="00A4213B" w14:paraId="652E3537" w14:textId="77777777" w:rsidTr="00A4213B">
        <w:tc>
          <w:tcPr>
            <w:tcW w:w="1696" w:type="dxa"/>
          </w:tcPr>
          <w:p w14:paraId="751F9B31" w14:textId="77777777" w:rsidR="00A4213B" w:rsidRPr="00A4213B" w:rsidRDefault="00A4213B" w:rsidP="0051485F">
            <w:pPr>
              <w:pStyle w:val="TableBodyText"/>
              <w:widowControl w:val="0"/>
              <w:jc w:val="center"/>
            </w:pPr>
            <w:r w:rsidRPr="00A4213B">
              <w:t>1</w:t>
            </w:r>
          </w:p>
        </w:tc>
        <w:tc>
          <w:tcPr>
            <w:tcW w:w="12296" w:type="dxa"/>
          </w:tcPr>
          <w:p w14:paraId="58919C83" w14:textId="567F7D31" w:rsidR="00A4213B" w:rsidRPr="00A4213B" w:rsidRDefault="00A4213B" w:rsidP="0051485F">
            <w:pPr>
              <w:pStyle w:val="TableBodyText"/>
              <w:widowControl w:val="0"/>
            </w:pPr>
            <w:r w:rsidRPr="00A4213B">
              <w:t>A night inspection should be carried out periodically to check delineation</w:t>
            </w:r>
            <w:r w:rsidR="000E02A3">
              <w:t xml:space="preserve"> and so on</w:t>
            </w:r>
            <w:r w:rsidRPr="00A4213B">
              <w:t>.</w:t>
            </w:r>
          </w:p>
        </w:tc>
      </w:tr>
      <w:tr w:rsidR="00A4213B" w:rsidRPr="00A4213B" w14:paraId="6565960E" w14:textId="77777777" w:rsidTr="00A4213B">
        <w:tc>
          <w:tcPr>
            <w:tcW w:w="1696" w:type="dxa"/>
          </w:tcPr>
          <w:p w14:paraId="38BC60D6" w14:textId="77777777" w:rsidR="00A4213B" w:rsidRPr="00A4213B" w:rsidRDefault="00A4213B" w:rsidP="0051485F">
            <w:pPr>
              <w:pStyle w:val="TableBodyText"/>
              <w:widowControl w:val="0"/>
              <w:jc w:val="center"/>
            </w:pPr>
            <w:r w:rsidRPr="00A4213B">
              <w:t>2</w:t>
            </w:r>
          </w:p>
        </w:tc>
        <w:tc>
          <w:tcPr>
            <w:tcW w:w="12296" w:type="dxa"/>
          </w:tcPr>
          <w:p w14:paraId="2DDBD420" w14:textId="73F2B563" w:rsidR="00A4213B" w:rsidRPr="00A4213B" w:rsidRDefault="00A4213B" w:rsidP="0051485F">
            <w:pPr>
              <w:pStyle w:val="TableBodyText"/>
              <w:widowControl w:val="0"/>
            </w:pPr>
            <w:r w:rsidRPr="00A4213B">
              <w:t>Check installations are in accordance with the Traffic Management Plan</w:t>
            </w:r>
            <w:r w:rsidR="000E02A3">
              <w:t>.</w:t>
            </w:r>
          </w:p>
        </w:tc>
      </w:tr>
      <w:tr w:rsidR="00A4213B" w:rsidRPr="00A4213B" w14:paraId="286E5E69" w14:textId="77777777" w:rsidTr="00A4213B">
        <w:tc>
          <w:tcPr>
            <w:tcW w:w="1696" w:type="dxa"/>
          </w:tcPr>
          <w:p w14:paraId="053A8D67" w14:textId="77777777" w:rsidR="00A4213B" w:rsidRPr="00A4213B" w:rsidRDefault="00A4213B" w:rsidP="0051485F">
            <w:pPr>
              <w:pStyle w:val="TableBodyText"/>
              <w:widowControl w:val="0"/>
              <w:jc w:val="center"/>
            </w:pPr>
            <w:r w:rsidRPr="00A4213B">
              <w:t>3</w:t>
            </w:r>
          </w:p>
        </w:tc>
        <w:tc>
          <w:tcPr>
            <w:tcW w:w="12296" w:type="dxa"/>
          </w:tcPr>
          <w:p w14:paraId="324F54A0" w14:textId="3B2EFAC7" w:rsidR="00A4213B" w:rsidRPr="00A4213B" w:rsidRDefault="00A4213B" w:rsidP="0051485F">
            <w:pPr>
              <w:pStyle w:val="TableBodyText"/>
              <w:widowControl w:val="0"/>
            </w:pPr>
            <w:proofErr w:type="gramStart"/>
            <w:r w:rsidRPr="00A4213B">
              <w:t>Check also</w:t>
            </w:r>
            <w:proofErr w:type="gramEnd"/>
            <w:r w:rsidRPr="00A4213B">
              <w:t xml:space="preserve"> the requirements of MRTS01</w:t>
            </w:r>
            <w:r w:rsidR="00EE43AA">
              <w:t> </w:t>
            </w:r>
            <w:r w:rsidR="00EE43AA" w:rsidRPr="00EE43AA">
              <w:rPr>
                <w:i/>
                <w:iCs/>
              </w:rPr>
              <w:t>Introduction to Technical Specifications</w:t>
            </w:r>
            <w:r w:rsidR="00EE43AA">
              <w:t>.</w:t>
            </w:r>
          </w:p>
        </w:tc>
      </w:tr>
    </w:tbl>
    <w:p w14:paraId="3234AF37" w14:textId="5A499FAA" w:rsidR="00BD6DEF" w:rsidRPr="00BD6DEF" w:rsidRDefault="00BD6DEF" w:rsidP="00BD6DEF">
      <w:pPr>
        <w:pStyle w:val="BodyText"/>
        <w:keepNext/>
        <w:keepLines/>
        <w:widowControl w:val="0"/>
        <w:spacing w:before="240"/>
        <w:rPr>
          <w:rStyle w:val="BodyTextitalic"/>
          <w:i w:val="0"/>
          <w:iCs/>
        </w:rPr>
      </w:pPr>
      <w:r w:rsidRPr="00BD6DEF">
        <w:rPr>
          <w:rStyle w:val="BodyTextitalic"/>
          <w:i w:val="0"/>
          <w:iCs/>
        </w:rPr>
        <w:t>Note:</w:t>
      </w:r>
      <w:r>
        <w:rPr>
          <w:rStyle w:val="BodyTextitalic"/>
          <w:i w:val="0"/>
          <w:iCs/>
        </w:rPr>
        <w:br/>
      </w:r>
      <w:r w:rsidRPr="00BD6DEF">
        <w:rPr>
          <w:rStyle w:val="BodyTextitalic"/>
          <w:i w:val="0"/>
          <w:iCs/>
        </w:rPr>
        <w:t xml:space="preserve">MRTS02 and MRTS02.1 contain references to other technical documents published by </w:t>
      </w:r>
      <w:r>
        <w:rPr>
          <w:rStyle w:val="BodyTextitalic"/>
          <w:i w:val="0"/>
          <w:iCs/>
        </w:rPr>
        <w:t>the department</w:t>
      </w:r>
      <w:r w:rsidRPr="00BD6DEF">
        <w:rPr>
          <w:rStyle w:val="BodyTextitalic"/>
          <w:i w:val="0"/>
          <w:iCs/>
        </w:rPr>
        <w:t>. Ensure that the TMD has referenced these documents in the preparation of the TMP and associated TGS.</w:t>
      </w:r>
    </w:p>
    <w:p w14:paraId="2D28A548" w14:textId="239F52B5" w:rsidR="00151978" w:rsidRPr="001D68C9" w:rsidRDefault="00151978" w:rsidP="0051485F">
      <w:pPr>
        <w:pStyle w:val="BodyText"/>
        <w:keepNext/>
        <w:keepLines/>
        <w:widowControl w:val="0"/>
        <w:spacing w:before="240"/>
        <w:rPr>
          <w:rStyle w:val="BodyTextitalic"/>
          <w:color w:val="0070C0"/>
        </w:rPr>
      </w:pPr>
      <w:r w:rsidRPr="001D68C9">
        <w:rPr>
          <w:rStyle w:val="BodyTextitalic"/>
          <w:color w:val="0070C0"/>
        </w:rPr>
        <w:t xml:space="preserve">Delete below section if not </w:t>
      </w:r>
      <w:proofErr w:type="gramStart"/>
      <w:r w:rsidRPr="001D68C9">
        <w:rPr>
          <w:rStyle w:val="BodyTextitalic"/>
          <w:color w:val="0070C0"/>
        </w:rPr>
        <w:t>required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265DDCA7" w14:textId="77777777" w:rsidTr="007E0155">
        <w:tc>
          <w:tcPr>
            <w:tcW w:w="1696" w:type="dxa"/>
            <w:vMerge w:val="restart"/>
          </w:tcPr>
          <w:p w14:paraId="0B598B68" w14:textId="4475BC11" w:rsidR="00151978" w:rsidRDefault="007A72EA" w:rsidP="0051485F">
            <w:pPr>
              <w:pStyle w:val="BodyText"/>
              <w:widowControl w:val="0"/>
            </w:pPr>
            <w:r>
              <w:t>Reviewed</w:t>
            </w:r>
            <w:r w:rsidR="00151978">
              <w:t xml:space="preserve"> by:</w:t>
            </w:r>
          </w:p>
        </w:tc>
        <w:tc>
          <w:tcPr>
            <w:tcW w:w="5300" w:type="dxa"/>
            <w:gridSpan w:val="2"/>
          </w:tcPr>
          <w:p w14:paraId="0545DCDE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  <w:tc>
          <w:tcPr>
            <w:tcW w:w="3498" w:type="dxa"/>
            <w:gridSpan w:val="2"/>
          </w:tcPr>
          <w:p w14:paraId="6436DA15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  <w:tc>
          <w:tcPr>
            <w:tcW w:w="3498" w:type="dxa"/>
            <w:gridSpan w:val="2"/>
          </w:tcPr>
          <w:p w14:paraId="275942A1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</w:tr>
      <w:tr w:rsidR="00151978" w14:paraId="2836E80C" w14:textId="77777777" w:rsidTr="007E0155">
        <w:tc>
          <w:tcPr>
            <w:tcW w:w="1696" w:type="dxa"/>
            <w:vMerge/>
          </w:tcPr>
          <w:p w14:paraId="79E6B50D" w14:textId="77777777" w:rsidR="00151978" w:rsidRDefault="00151978" w:rsidP="0051485F">
            <w:pPr>
              <w:pStyle w:val="BodyText"/>
              <w:widowControl w:val="0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22BCB161" w14:textId="77777777" w:rsidR="00151978" w:rsidRDefault="00151978" w:rsidP="0051485F">
            <w:pPr>
              <w:pStyle w:val="BodyText"/>
              <w:widowControl w:val="0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3BEDA13E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264F9A8C" w14:textId="77777777" w:rsidR="00151978" w:rsidRDefault="00151978" w:rsidP="0051485F">
            <w:pPr>
              <w:pStyle w:val="BodyText"/>
              <w:widowControl w:val="0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56E8AA39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36D743D8" w14:textId="77777777" w:rsidR="00151978" w:rsidRDefault="00151978" w:rsidP="0051485F">
            <w:pPr>
              <w:pStyle w:val="BodyText"/>
              <w:widowControl w:val="0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7B5287F6" w14:textId="77777777" w:rsidR="00151978" w:rsidRDefault="00151978" w:rsidP="0051485F">
            <w:pPr>
              <w:pStyle w:val="BodyText"/>
              <w:widowControl w:val="0"/>
              <w:jc w:val="center"/>
            </w:pPr>
          </w:p>
        </w:tc>
      </w:tr>
    </w:tbl>
    <w:p w14:paraId="5D70DB9D" w14:textId="77777777" w:rsidR="00151978" w:rsidRPr="00CE6618" w:rsidRDefault="00151978" w:rsidP="0051485F">
      <w:pPr>
        <w:pStyle w:val="BodyText"/>
        <w:keepNext/>
        <w:keepLines/>
        <w:widowControl w:val="0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EFA8" w14:textId="77777777" w:rsidR="00EF2FDD" w:rsidRDefault="00EF2FDD">
      <w:r>
        <w:separator/>
      </w:r>
    </w:p>
    <w:p w14:paraId="5DC7FCA3" w14:textId="77777777" w:rsidR="00EF2FDD" w:rsidRDefault="00EF2FDD"/>
  </w:endnote>
  <w:endnote w:type="continuationSeparator" w:id="0">
    <w:p w14:paraId="4B9C0D1A" w14:textId="77777777" w:rsidR="00EF2FDD" w:rsidRDefault="00EF2FDD">
      <w:r>
        <w:continuationSeparator/>
      </w:r>
    </w:p>
    <w:p w14:paraId="3CAF7CEE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0A2C" w14:textId="093C220B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7F6C550" wp14:editId="30FC7CCF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 w:rsidR="00D73287" w:rsidRPr="00D73287">
      <w:rPr>
        <w:noProof/>
      </w:rPr>
      <w:t xml:space="preserve">Contract Administration System, Transport and Main Roads, </w:t>
    </w:r>
    <w:r w:rsidR="00E9028F">
      <w:rPr>
        <w:noProof/>
      </w:rPr>
      <w:t>July 2024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D73287">
      <w:rPr>
        <w:rStyle w:val="PageNumber"/>
        <w:noProof/>
      </w:rPr>
      <w:t>3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0C46" w14:textId="77777777" w:rsidR="00EF2FDD" w:rsidRDefault="00EF2FDD">
      <w:r>
        <w:separator/>
      </w:r>
    </w:p>
    <w:p w14:paraId="7631A508" w14:textId="77777777" w:rsidR="00EF2FDD" w:rsidRDefault="00EF2FDD"/>
  </w:footnote>
  <w:footnote w:type="continuationSeparator" w:id="0">
    <w:p w14:paraId="156CA7D4" w14:textId="77777777" w:rsidR="00EF2FDD" w:rsidRDefault="00EF2FDD">
      <w:r>
        <w:continuationSeparator/>
      </w:r>
    </w:p>
    <w:p w14:paraId="046F1D6D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8869" w14:textId="5BCEB0D5" w:rsidR="00C957B5" w:rsidRDefault="00D73287" w:rsidP="00C957B5">
    <w:pPr>
      <w:pStyle w:val="HeaderChapterpart"/>
    </w:pPr>
    <w:r w:rsidRPr="00D73287">
      <w:t>Checklist CAC055M, Review of Temporary Barriers and Lighting</w:t>
    </w:r>
    <w:r w:rsidR="00E17D67">
      <w:t> </w:t>
    </w:r>
    <w:r w:rsidRPr="00D73287">
      <w:t>(MRTS02)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80D3" w14:textId="39917228" w:rsidR="002F7622" w:rsidRDefault="003F1F4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A80FD4" wp14:editId="1CBA41B8">
          <wp:simplePos x="0" y="0"/>
          <wp:positionH relativeFrom="page">
            <wp:align>left</wp:align>
          </wp:positionH>
          <wp:positionV relativeFrom="paragraph">
            <wp:posOffset>-307340</wp:posOffset>
          </wp:positionV>
          <wp:extent cx="10693400" cy="7559675"/>
          <wp:effectExtent l="0" t="0" r="0" b="317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5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0BCF23AD"/>
    <w:multiLevelType w:val="multilevel"/>
    <w:tmpl w:val="DC821EB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F715EB1"/>
    <w:multiLevelType w:val="hybridMultilevel"/>
    <w:tmpl w:val="12882DCE"/>
    <w:lvl w:ilvl="0" w:tplc="0C090017">
      <w:start w:val="1"/>
      <w:numFmt w:val="lowerLetter"/>
      <w:lvlText w:val="%1)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248A7CFE"/>
    <w:multiLevelType w:val="hybridMultilevel"/>
    <w:tmpl w:val="25EEA2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38B0774F"/>
    <w:multiLevelType w:val="multilevel"/>
    <w:tmpl w:val="620CC31C"/>
    <w:numStyleLink w:val="ListAllBullets3Level"/>
  </w:abstractNum>
  <w:abstractNum w:abstractNumId="15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6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520F48C5"/>
    <w:multiLevelType w:val="multilevel"/>
    <w:tmpl w:val="D9DC7F10"/>
    <w:lvl w:ilvl="0">
      <w:start w:val="2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3B75BF7"/>
    <w:multiLevelType w:val="multilevel"/>
    <w:tmpl w:val="DC821EBC"/>
    <w:numStyleLink w:val="TableListAllBullets3Level"/>
  </w:abstractNum>
  <w:abstractNum w:abstractNumId="22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5A1239B1"/>
    <w:multiLevelType w:val="hybridMultilevel"/>
    <w:tmpl w:val="FADEB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030"/>
    <w:multiLevelType w:val="hybridMultilevel"/>
    <w:tmpl w:val="4BCA03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7" w15:restartNumberingAfterBreak="0">
    <w:nsid w:val="67806C91"/>
    <w:multiLevelType w:val="multilevel"/>
    <w:tmpl w:val="DC821EBC"/>
    <w:numStyleLink w:val="TableListAllBullets3Level"/>
  </w:abstractNum>
  <w:abstractNum w:abstractNumId="28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1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38810403">
    <w:abstractNumId w:val="6"/>
  </w:num>
  <w:num w:numId="2" w16cid:durableId="871379751">
    <w:abstractNumId w:val="16"/>
  </w:num>
  <w:num w:numId="3" w16cid:durableId="1399474412">
    <w:abstractNumId w:val="28"/>
  </w:num>
  <w:num w:numId="4" w16cid:durableId="863400552">
    <w:abstractNumId w:val="1"/>
  </w:num>
  <w:num w:numId="5" w16cid:durableId="915940664">
    <w:abstractNumId w:val="11"/>
  </w:num>
  <w:num w:numId="6" w16cid:durableId="1110780063">
    <w:abstractNumId w:val="8"/>
  </w:num>
  <w:num w:numId="7" w16cid:durableId="187643020">
    <w:abstractNumId w:val="4"/>
  </w:num>
  <w:num w:numId="8" w16cid:durableId="832065664">
    <w:abstractNumId w:val="14"/>
  </w:num>
  <w:num w:numId="9" w16cid:durableId="1220089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333653">
    <w:abstractNumId w:val="2"/>
  </w:num>
  <w:num w:numId="11" w16cid:durableId="603539661">
    <w:abstractNumId w:val="5"/>
  </w:num>
  <w:num w:numId="12" w16cid:durableId="806971042">
    <w:abstractNumId w:val="17"/>
  </w:num>
  <w:num w:numId="13" w16cid:durableId="493495472">
    <w:abstractNumId w:val="26"/>
  </w:num>
  <w:num w:numId="14" w16cid:durableId="1379550812">
    <w:abstractNumId w:val="18"/>
  </w:num>
  <w:num w:numId="15" w16cid:durableId="1210386737">
    <w:abstractNumId w:val="0"/>
  </w:num>
  <w:num w:numId="16" w16cid:durableId="263224980">
    <w:abstractNumId w:val="22"/>
  </w:num>
  <w:num w:numId="17" w16cid:durableId="609750079">
    <w:abstractNumId w:val="13"/>
  </w:num>
  <w:num w:numId="18" w16cid:durableId="2059625129">
    <w:abstractNumId w:val="23"/>
  </w:num>
  <w:num w:numId="19" w16cid:durableId="67658626">
    <w:abstractNumId w:val="12"/>
  </w:num>
  <w:num w:numId="20" w16cid:durableId="2022589187">
    <w:abstractNumId w:val="31"/>
  </w:num>
  <w:num w:numId="21" w16cid:durableId="861669861">
    <w:abstractNumId w:val="19"/>
  </w:num>
  <w:num w:numId="22" w16cid:durableId="2100246149">
    <w:abstractNumId w:val="7"/>
  </w:num>
  <w:num w:numId="23" w16cid:durableId="1180583961">
    <w:abstractNumId w:val="29"/>
  </w:num>
  <w:num w:numId="24" w16cid:durableId="3091402">
    <w:abstractNumId w:val="32"/>
  </w:num>
  <w:num w:numId="25" w16cid:durableId="577665907">
    <w:abstractNumId w:val="30"/>
  </w:num>
  <w:num w:numId="26" w16cid:durableId="1846825071">
    <w:abstractNumId w:val="25"/>
  </w:num>
  <w:num w:numId="27" w16cid:durableId="434642760">
    <w:abstractNumId w:val="10"/>
  </w:num>
  <w:num w:numId="28" w16cid:durableId="2117360642">
    <w:abstractNumId w:val="24"/>
  </w:num>
  <w:num w:numId="29" w16cid:durableId="645472870">
    <w:abstractNumId w:val="27"/>
  </w:num>
  <w:num w:numId="30" w16cid:durableId="1714841185">
    <w:abstractNumId w:val="20"/>
  </w:num>
  <w:num w:numId="31" w16cid:durableId="72776608">
    <w:abstractNumId w:val="3"/>
  </w:num>
  <w:num w:numId="32" w16cid:durableId="431166632">
    <w:abstractNumId w:val="21"/>
  </w:num>
  <w:num w:numId="33" w16cid:durableId="183070800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3266D"/>
    <w:rsid w:val="00042CEB"/>
    <w:rsid w:val="0006499F"/>
    <w:rsid w:val="00066DBE"/>
    <w:rsid w:val="0006713E"/>
    <w:rsid w:val="00070044"/>
    <w:rsid w:val="0007165A"/>
    <w:rsid w:val="000913ED"/>
    <w:rsid w:val="000953C5"/>
    <w:rsid w:val="00096FC7"/>
    <w:rsid w:val="000B047B"/>
    <w:rsid w:val="000B71E8"/>
    <w:rsid w:val="000D0A92"/>
    <w:rsid w:val="000E01EA"/>
    <w:rsid w:val="000E02A3"/>
    <w:rsid w:val="000E1CE3"/>
    <w:rsid w:val="0010528D"/>
    <w:rsid w:val="00107514"/>
    <w:rsid w:val="00115E98"/>
    <w:rsid w:val="00125B5A"/>
    <w:rsid w:val="0014330A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D68C9"/>
    <w:rsid w:val="001E0A79"/>
    <w:rsid w:val="001E3E78"/>
    <w:rsid w:val="001E6893"/>
    <w:rsid w:val="001F2035"/>
    <w:rsid w:val="001F3FC6"/>
    <w:rsid w:val="00202A8E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4389"/>
    <w:rsid w:val="002751EF"/>
    <w:rsid w:val="00275DDB"/>
    <w:rsid w:val="00277E0F"/>
    <w:rsid w:val="002836E9"/>
    <w:rsid w:val="002861AC"/>
    <w:rsid w:val="00287680"/>
    <w:rsid w:val="002A50A0"/>
    <w:rsid w:val="002D4232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529DC"/>
    <w:rsid w:val="00361264"/>
    <w:rsid w:val="00363C04"/>
    <w:rsid w:val="003717FA"/>
    <w:rsid w:val="00376A0A"/>
    <w:rsid w:val="00383A3B"/>
    <w:rsid w:val="00385C33"/>
    <w:rsid w:val="00391457"/>
    <w:rsid w:val="003960ED"/>
    <w:rsid w:val="003A5033"/>
    <w:rsid w:val="003C340E"/>
    <w:rsid w:val="003D1729"/>
    <w:rsid w:val="003D200A"/>
    <w:rsid w:val="003E0E9D"/>
    <w:rsid w:val="003E3C82"/>
    <w:rsid w:val="003F1F4E"/>
    <w:rsid w:val="003F268B"/>
    <w:rsid w:val="00400CF8"/>
    <w:rsid w:val="004030EB"/>
    <w:rsid w:val="00403422"/>
    <w:rsid w:val="0041645F"/>
    <w:rsid w:val="00422F15"/>
    <w:rsid w:val="004525EA"/>
    <w:rsid w:val="00456933"/>
    <w:rsid w:val="00456A07"/>
    <w:rsid w:val="00477792"/>
    <w:rsid w:val="004B22D1"/>
    <w:rsid w:val="004C1D65"/>
    <w:rsid w:val="004D2E76"/>
    <w:rsid w:val="004E3F40"/>
    <w:rsid w:val="004E49B7"/>
    <w:rsid w:val="004F4085"/>
    <w:rsid w:val="00501027"/>
    <w:rsid w:val="0051485F"/>
    <w:rsid w:val="00521D18"/>
    <w:rsid w:val="005233EF"/>
    <w:rsid w:val="00526282"/>
    <w:rsid w:val="00530265"/>
    <w:rsid w:val="005424A4"/>
    <w:rsid w:val="005502A0"/>
    <w:rsid w:val="00553A0C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A108A"/>
    <w:rsid w:val="005C1DF1"/>
    <w:rsid w:val="005D3973"/>
    <w:rsid w:val="005D59C0"/>
    <w:rsid w:val="005F7D38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C4F89"/>
    <w:rsid w:val="006D2668"/>
    <w:rsid w:val="006D2FDF"/>
    <w:rsid w:val="006D52CB"/>
    <w:rsid w:val="006D553A"/>
    <w:rsid w:val="0072078E"/>
    <w:rsid w:val="00723F1A"/>
    <w:rsid w:val="00730C95"/>
    <w:rsid w:val="007462A6"/>
    <w:rsid w:val="007672DC"/>
    <w:rsid w:val="0077261D"/>
    <w:rsid w:val="00773BA4"/>
    <w:rsid w:val="00785550"/>
    <w:rsid w:val="00793FA9"/>
    <w:rsid w:val="00796D7D"/>
    <w:rsid w:val="007A72EA"/>
    <w:rsid w:val="007B669A"/>
    <w:rsid w:val="007C4319"/>
    <w:rsid w:val="007D0963"/>
    <w:rsid w:val="007D76AC"/>
    <w:rsid w:val="007F56CD"/>
    <w:rsid w:val="007F6130"/>
    <w:rsid w:val="008073B2"/>
    <w:rsid w:val="00811807"/>
    <w:rsid w:val="00814212"/>
    <w:rsid w:val="00825E2A"/>
    <w:rsid w:val="00865306"/>
    <w:rsid w:val="008807C8"/>
    <w:rsid w:val="00881600"/>
    <w:rsid w:val="008843E8"/>
    <w:rsid w:val="00894024"/>
    <w:rsid w:val="008A19A0"/>
    <w:rsid w:val="008B3748"/>
    <w:rsid w:val="008B61BF"/>
    <w:rsid w:val="008D02E2"/>
    <w:rsid w:val="008F36D9"/>
    <w:rsid w:val="008F47F2"/>
    <w:rsid w:val="00904118"/>
    <w:rsid w:val="0091452E"/>
    <w:rsid w:val="009151E9"/>
    <w:rsid w:val="00926AFF"/>
    <w:rsid w:val="00940C46"/>
    <w:rsid w:val="00944A3A"/>
    <w:rsid w:val="00945942"/>
    <w:rsid w:val="00975002"/>
    <w:rsid w:val="00981B49"/>
    <w:rsid w:val="00985705"/>
    <w:rsid w:val="0098641F"/>
    <w:rsid w:val="00996C59"/>
    <w:rsid w:val="009A30FA"/>
    <w:rsid w:val="009A671A"/>
    <w:rsid w:val="009B2347"/>
    <w:rsid w:val="009B27DF"/>
    <w:rsid w:val="009B2B75"/>
    <w:rsid w:val="009B39D2"/>
    <w:rsid w:val="009B6FF8"/>
    <w:rsid w:val="009E22DF"/>
    <w:rsid w:val="009E5C89"/>
    <w:rsid w:val="009E5D80"/>
    <w:rsid w:val="009F4D5B"/>
    <w:rsid w:val="00A00F46"/>
    <w:rsid w:val="00A11B99"/>
    <w:rsid w:val="00A12D4E"/>
    <w:rsid w:val="00A20B17"/>
    <w:rsid w:val="00A23F13"/>
    <w:rsid w:val="00A27877"/>
    <w:rsid w:val="00A33B39"/>
    <w:rsid w:val="00A4213B"/>
    <w:rsid w:val="00A46E49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15504"/>
    <w:rsid w:val="00B249E6"/>
    <w:rsid w:val="00B4064C"/>
    <w:rsid w:val="00B558D9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D6DEF"/>
    <w:rsid w:val="00BE327E"/>
    <w:rsid w:val="00BE6F04"/>
    <w:rsid w:val="00BF0295"/>
    <w:rsid w:val="00BF2FA5"/>
    <w:rsid w:val="00BF373B"/>
    <w:rsid w:val="00BF7B37"/>
    <w:rsid w:val="00C2724E"/>
    <w:rsid w:val="00C33EEE"/>
    <w:rsid w:val="00C34106"/>
    <w:rsid w:val="00C352F9"/>
    <w:rsid w:val="00C40450"/>
    <w:rsid w:val="00C50278"/>
    <w:rsid w:val="00C76378"/>
    <w:rsid w:val="00C81006"/>
    <w:rsid w:val="00C844C9"/>
    <w:rsid w:val="00C957B5"/>
    <w:rsid w:val="00C965C0"/>
    <w:rsid w:val="00C97D93"/>
    <w:rsid w:val="00C97F79"/>
    <w:rsid w:val="00CA107F"/>
    <w:rsid w:val="00CA3157"/>
    <w:rsid w:val="00CA4B9D"/>
    <w:rsid w:val="00CB72AC"/>
    <w:rsid w:val="00CC14FD"/>
    <w:rsid w:val="00CD30F9"/>
    <w:rsid w:val="00CE6618"/>
    <w:rsid w:val="00D00DAB"/>
    <w:rsid w:val="00D00ECB"/>
    <w:rsid w:val="00D01D6F"/>
    <w:rsid w:val="00D0624C"/>
    <w:rsid w:val="00D06ECA"/>
    <w:rsid w:val="00D12160"/>
    <w:rsid w:val="00D124FD"/>
    <w:rsid w:val="00D137DA"/>
    <w:rsid w:val="00D15248"/>
    <w:rsid w:val="00D435F2"/>
    <w:rsid w:val="00D56593"/>
    <w:rsid w:val="00D67F00"/>
    <w:rsid w:val="00D73287"/>
    <w:rsid w:val="00D8447C"/>
    <w:rsid w:val="00D86598"/>
    <w:rsid w:val="00DA03C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02A13"/>
    <w:rsid w:val="00E17D67"/>
    <w:rsid w:val="00E2173C"/>
    <w:rsid w:val="00E22C83"/>
    <w:rsid w:val="00E57C45"/>
    <w:rsid w:val="00E70EA9"/>
    <w:rsid w:val="00E8162F"/>
    <w:rsid w:val="00E84619"/>
    <w:rsid w:val="00E9028F"/>
    <w:rsid w:val="00E96F32"/>
    <w:rsid w:val="00EA1208"/>
    <w:rsid w:val="00EA319A"/>
    <w:rsid w:val="00EA57E8"/>
    <w:rsid w:val="00EC0517"/>
    <w:rsid w:val="00EC2AA7"/>
    <w:rsid w:val="00ED06E5"/>
    <w:rsid w:val="00ED5C9C"/>
    <w:rsid w:val="00EE3AA3"/>
    <w:rsid w:val="00EE43AA"/>
    <w:rsid w:val="00EF2FDD"/>
    <w:rsid w:val="00EF3F49"/>
    <w:rsid w:val="00F15554"/>
    <w:rsid w:val="00F30D7C"/>
    <w:rsid w:val="00F322FA"/>
    <w:rsid w:val="00F44BA4"/>
    <w:rsid w:val="00F45A8D"/>
    <w:rsid w:val="00F57E77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7DDDCB3C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paragraph" w:styleId="ListParagraph">
    <w:name w:val="List Paragraph"/>
    <w:basedOn w:val="Normal"/>
    <w:uiPriority w:val="34"/>
    <w:qFormat/>
    <w:rsid w:val="001F3FC6"/>
    <w:pPr>
      <w:ind w:left="720"/>
      <w:contextualSpacing/>
    </w:pPr>
  </w:style>
  <w:style w:type="character" w:styleId="CommentReference">
    <w:name w:val="annotation reference"/>
    <w:basedOn w:val="DefaultParagraphFont"/>
    <w:rsid w:val="00881600"/>
    <w:rPr>
      <w:sz w:val="16"/>
      <w:szCs w:val="16"/>
    </w:rPr>
  </w:style>
  <w:style w:type="paragraph" w:styleId="Revision">
    <w:name w:val="Revision"/>
    <w:hidden/>
    <w:uiPriority w:val="99"/>
    <w:semiHidden/>
    <w:rsid w:val="0098570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CD7EF-6B7A-4597-B292-2E091BF83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purl.org/dc/dcmitype/"/>
    <ds:schemaRef ds:uri="http://purl.org/dc/terms/"/>
    <ds:schemaRef ds:uri="ec972935-d489-4a83-af2a-c34816ed283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84</TotalTime>
  <Pages>4</Pages>
  <Words>516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CAC055M</vt:lpstr>
    </vt:vector>
  </TitlesOfParts>
  <Company>Department of Transport and Main Roads</Company>
  <LinksUpToDate>false</LinksUpToDate>
  <CharactersWithSpaces>3345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CAC055M</dc:title>
  <dc:subject>Review of Temporary Barriers and Lighting (MRTS02)</dc:subject>
  <dc:creator>Department of Transport and Main Roads</dc:creator>
  <cp:keywords>Contract; CAS; Checklist;</cp:keywords>
  <dc:description/>
  <cp:lastModifiedBy>Courtney M West</cp:lastModifiedBy>
  <cp:revision>36</cp:revision>
  <cp:lastPrinted>2013-06-20T03:17:00Z</cp:lastPrinted>
  <dcterms:created xsi:type="dcterms:W3CDTF">2020-06-15T03:29:00Z</dcterms:created>
  <dcterms:modified xsi:type="dcterms:W3CDTF">2024-06-19T03:26:00Z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