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3724D8" w:rsidRDefault="008F10B0" w:rsidP="008F10B0">
            <w:pPr>
              <w:pStyle w:val="BodyText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>
              <w:rPr>
                <w:b/>
                <w:sz w:val="40"/>
                <w:szCs w:val="40"/>
              </w:rPr>
              <w:t>40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3724D8">
              <w:rPr>
                <w:b/>
                <w:sz w:val="40"/>
                <w:szCs w:val="40"/>
              </w:rPr>
              <w:t xml:space="preserve"> </w:t>
            </w:r>
            <w:r w:rsidR="003724D8">
              <w:rPr>
                <w:b/>
                <w:sz w:val="32"/>
                <w:szCs w:val="32"/>
              </w:rPr>
              <w:t>(November </w:t>
            </w:r>
            <w:bookmarkStart w:id="0" w:name="_GoBack"/>
            <w:bookmarkEnd w:id="0"/>
            <w:r w:rsidR="003724D8">
              <w:rPr>
                <w:b/>
                <w:sz w:val="32"/>
                <w:szCs w:val="32"/>
              </w:rPr>
              <w:t>2018)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8F10B0" w:rsidP="0024107A">
            <w:pPr>
              <w:pStyle w:val="BodyText"/>
              <w:rPr>
                <w:b/>
                <w:sz w:val="40"/>
                <w:szCs w:val="40"/>
              </w:rPr>
            </w:pPr>
            <w:r w:rsidRPr="008F10B0">
              <w:rPr>
                <w:b/>
                <w:sz w:val="40"/>
                <w:szCs w:val="40"/>
              </w:rPr>
              <w:t>Concrete Pavement Base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8F10B0" w:rsidP="003F0922">
            <w:pPr>
              <w:pStyle w:val="BodyText"/>
              <w:rPr>
                <w:rStyle w:val="BodyTextbold"/>
              </w:rPr>
            </w:pPr>
            <w:r w:rsidRPr="008F10B0">
              <w:rPr>
                <w:rStyle w:val="BodyTextbold"/>
              </w:rPr>
              <w:t>Clause references within brackets in this Annexure refer to Clauses in the</w:t>
            </w:r>
            <w:r w:rsidR="00DD0021">
              <w:rPr>
                <w:rStyle w:val="BodyTextbold"/>
              </w:rPr>
              <w:t xml:space="preserve"> parent Technical Specification </w:t>
            </w:r>
            <w:r w:rsidRPr="008F10B0">
              <w:rPr>
                <w:rStyle w:val="BodyTextbold"/>
              </w:rPr>
              <w:t>MRTS40 unless otherwise noted.</w:t>
            </w:r>
          </w:p>
        </w:tc>
      </w:tr>
    </w:tbl>
    <w:p w:rsidR="00080E05" w:rsidRDefault="00080E05" w:rsidP="00DD0021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861E9" w:rsidTr="008F10B0">
        <w:trPr>
          <w:trHeight w:val="578"/>
        </w:trPr>
        <w:tc>
          <w:tcPr>
            <w:tcW w:w="9072" w:type="dxa"/>
          </w:tcPr>
          <w:p w:rsidR="003861E9" w:rsidRPr="00A87F08" w:rsidRDefault="00DD0021" w:rsidP="008F10B0">
            <w:pPr>
              <w:pStyle w:val="Heading1"/>
              <w:outlineLvl w:val="0"/>
            </w:pPr>
            <w:r>
              <w:t>Texture of surface (Clauses </w:t>
            </w:r>
            <w:r w:rsidR="008F10B0" w:rsidRPr="008F10B0">
              <w:t>8.5.7, 8.5.7.2 and Clause</w:t>
            </w:r>
            <w:r>
              <w:t> M.2 of Appendix </w:t>
            </w:r>
            <w:r w:rsidR="008F10B0" w:rsidRPr="008F10B0">
              <w:t>M)</w:t>
            </w:r>
          </w:p>
          <w:p w:rsidR="003861E9" w:rsidRDefault="008F10B0" w:rsidP="008F10B0">
            <w:pPr>
              <w:pStyle w:val="BodyText"/>
              <w:ind w:left="452"/>
            </w:pPr>
            <w:r w:rsidRPr="008F10B0">
              <w:t>The following table is to be</w:t>
            </w:r>
            <w:r w:rsidR="00DD0021">
              <w:t xml:space="preserve"> read in conjunction with Table </w:t>
            </w:r>
            <w:r w:rsidRPr="008F10B0">
              <w:t>8.</w:t>
            </w:r>
            <w:r w:rsidR="00810543">
              <w:t>5.7</w:t>
            </w:r>
            <w:r w:rsidRPr="008F10B0">
              <w:t xml:space="preserve"> in MRTS40. It qualifies text</w:t>
            </w:r>
            <w:r w:rsidR="00DD0021">
              <w:t>uring requirements under Clause </w:t>
            </w:r>
            <w:r w:rsidRPr="008F10B0">
              <w:t>8.5.7. Examples might include:</w:t>
            </w:r>
          </w:p>
          <w:p w:rsidR="008F10B0" w:rsidRDefault="008F10B0" w:rsidP="008510B4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num" w:pos="1026"/>
              </w:tabs>
              <w:ind w:left="885" w:hanging="426"/>
            </w:pPr>
            <w:r>
              <w:t xml:space="preserve">Limitations on transverse or longitudinal </w:t>
            </w:r>
            <w:proofErr w:type="spellStart"/>
            <w:r>
              <w:t>tining</w:t>
            </w:r>
            <w:proofErr w:type="spellEnd"/>
            <w:r>
              <w:t>.</w:t>
            </w:r>
          </w:p>
          <w:p w:rsidR="008F10B0" w:rsidRDefault="008F10B0" w:rsidP="008510B4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num" w:pos="1026"/>
              </w:tabs>
              <w:ind w:left="885" w:hanging="426"/>
            </w:pPr>
            <w:r>
              <w:t>Supplementary transverse grooving at superelevation transitions.</w:t>
            </w:r>
          </w:p>
          <w:p w:rsidR="008F10B0" w:rsidRDefault="008F10B0" w:rsidP="008510B4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num" w:pos="1026"/>
              </w:tabs>
              <w:ind w:left="885" w:hanging="426"/>
            </w:pPr>
            <w:r>
              <w:t>Clause</w:t>
            </w:r>
            <w:r w:rsidR="00DD0021">
              <w:t> </w:t>
            </w:r>
            <w:r>
              <w:t xml:space="preserve">8.5.7.3 requires grooving to be parallel with </w:t>
            </w:r>
            <w:proofErr w:type="spellStart"/>
            <w:r>
              <w:t>tining</w:t>
            </w:r>
            <w:proofErr w:type="spellEnd"/>
            <w:r>
              <w:t xml:space="preserve">. Provide grooving details where a different alignment is required or where no </w:t>
            </w:r>
            <w:proofErr w:type="spellStart"/>
            <w:r>
              <w:t>tining</w:t>
            </w:r>
            <w:proofErr w:type="spellEnd"/>
            <w:r>
              <w:t xml:space="preserve"> exists.</w:t>
            </w:r>
          </w:p>
          <w:p w:rsidR="008F10B0" w:rsidRPr="00070033" w:rsidRDefault="008F10B0" w:rsidP="008510B4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num" w:pos="1026"/>
              </w:tabs>
              <w:ind w:left="885" w:hanging="426"/>
            </w:pPr>
            <w:r>
              <w:t>Diamond grinding in lieu of plastic texturing.</w:t>
            </w:r>
          </w:p>
        </w:tc>
      </w:tr>
      <w:tr w:rsidR="00EE3A27" w:rsidTr="008F1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846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  <w:gridCol w:w="2212"/>
              <w:gridCol w:w="2212"/>
            </w:tblGrid>
            <w:tr w:rsidR="008F10B0" w:rsidTr="00864091">
              <w:tc>
                <w:tcPr>
                  <w:tcW w:w="2211" w:type="dxa"/>
                  <w:vAlign w:val="top"/>
                </w:tcPr>
                <w:p w:rsidR="008F10B0" w:rsidRPr="007A7092" w:rsidRDefault="008F10B0" w:rsidP="008F10B0">
                  <w:pPr>
                    <w:pStyle w:val="TableHeading"/>
                  </w:pPr>
                  <w:r w:rsidRPr="007A7092">
                    <w:t>Control/</w:t>
                  </w:r>
                  <w:r>
                    <w:t>c</w:t>
                  </w:r>
                  <w:r w:rsidRPr="007A7092">
                    <w:t>hainage</w:t>
                  </w:r>
                </w:p>
              </w:tc>
              <w:tc>
                <w:tcPr>
                  <w:tcW w:w="2211" w:type="dxa"/>
                  <w:vAlign w:val="top"/>
                </w:tcPr>
                <w:p w:rsidR="008F10B0" w:rsidRPr="007A7092" w:rsidRDefault="008F10B0" w:rsidP="008F10B0">
                  <w:pPr>
                    <w:pStyle w:val="TableHeading"/>
                  </w:pPr>
                  <w:r>
                    <w:t>Texture t</w:t>
                  </w:r>
                  <w:r w:rsidRPr="007A7092">
                    <w:t>ypes(s)</w:t>
                  </w:r>
                </w:p>
              </w:tc>
              <w:tc>
                <w:tcPr>
                  <w:tcW w:w="2212" w:type="dxa"/>
                  <w:vAlign w:val="top"/>
                </w:tcPr>
                <w:p w:rsidR="008F10B0" w:rsidRPr="007A7092" w:rsidRDefault="008F10B0" w:rsidP="008F10B0">
                  <w:pPr>
                    <w:pStyle w:val="TableHeading"/>
                  </w:pPr>
                  <w:r w:rsidRPr="007A7092">
                    <w:t xml:space="preserve">Texture </w:t>
                  </w:r>
                  <w:r>
                    <w:t>d</w:t>
                  </w:r>
                  <w:r w:rsidRPr="007A7092">
                    <w:t>epth</w:t>
                  </w:r>
                </w:p>
              </w:tc>
              <w:tc>
                <w:tcPr>
                  <w:tcW w:w="2212" w:type="dxa"/>
                  <w:vAlign w:val="top"/>
                </w:tcPr>
                <w:p w:rsidR="008F10B0" w:rsidRDefault="008F10B0" w:rsidP="008F10B0">
                  <w:pPr>
                    <w:pStyle w:val="TableHeading"/>
                  </w:pPr>
                  <w:r w:rsidRPr="007A7092">
                    <w:t xml:space="preserve">Test </w:t>
                  </w:r>
                  <w:r>
                    <w:t>m</w:t>
                  </w:r>
                  <w:r w:rsidRPr="007A7092">
                    <w:t>ethod</w:t>
                  </w:r>
                </w:p>
              </w:tc>
            </w:tr>
            <w:tr w:rsidR="008F10B0" w:rsidTr="00864091">
              <w:tc>
                <w:tcPr>
                  <w:tcW w:w="2211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1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2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2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</w:tr>
            <w:tr w:rsidR="008F10B0" w:rsidTr="00864091">
              <w:tc>
                <w:tcPr>
                  <w:tcW w:w="2211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1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2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2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</w:tr>
            <w:tr w:rsidR="008F10B0" w:rsidTr="00864091">
              <w:tc>
                <w:tcPr>
                  <w:tcW w:w="2211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1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2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2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</w:tr>
            <w:tr w:rsidR="008F10B0" w:rsidTr="00864091">
              <w:tc>
                <w:tcPr>
                  <w:tcW w:w="2211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1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2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  <w:tc>
                <w:tcPr>
                  <w:tcW w:w="2212" w:type="dxa"/>
                </w:tcPr>
                <w:p w:rsidR="008F10B0" w:rsidRDefault="008F10B0" w:rsidP="008F10B0">
                  <w:pPr>
                    <w:pStyle w:val="TableBodyText"/>
                  </w:pPr>
                </w:p>
              </w:tc>
            </w:tr>
          </w:tbl>
          <w:p w:rsidR="008F10B0" w:rsidRPr="00DB4FCC" w:rsidRDefault="008F10B0" w:rsidP="00685517">
            <w:pPr>
              <w:pStyle w:val="TableNotes"/>
              <w:keepNext w:val="0"/>
              <w:keepLines w:val="0"/>
              <w:ind w:left="34"/>
            </w:pPr>
          </w:p>
        </w:tc>
      </w:tr>
    </w:tbl>
    <w:p w:rsidR="0064699C" w:rsidRPr="0064699C" w:rsidRDefault="0064699C" w:rsidP="008F10B0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833"/>
        <w:gridCol w:w="2833"/>
        <w:gridCol w:w="2834"/>
      </w:tblGrid>
      <w:tr w:rsidR="00EE3A27" w:rsidTr="00EE3A27">
        <w:tc>
          <w:tcPr>
            <w:tcW w:w="9060" w:type="dxa"/>
            <w:gridSpan w:val="4"/>
          </w:tcPr>
          <w:p w:rsidR="008F10B0" w:rsidRPr="008F10B0" w:rsidRDefault="008F10B0" w:rsidP="008F10B0">
            <w:pPr>
              <w:pStyle w:val="Heading1"/>
              <w:keepNext w:val="0"/>
              <w:keepLines w:val="0"/>
              <w:outlineLvl w:val="0"/>
            </w:pPr>
            <w:r w:rsidRPr="008F10B0">
              <w:t>Treatment of existing base, kerb and edge (Cl</w:t>
            </w:r>
            <w:r w:rsidR="00DD0021">
              <w:t>auses </w:t>
            </w:r>
            <w:r>
              <w:t>K.1 and K.6.6 of Appendix </w:t>
            </w:r>
            <w:r w:rsidRPr="008F10B0">
              <w:t>K)</w:t>
            </w:r>
          </w:p>
          <w:p w:rsidR="00EE3A27" w:rsidRDefault="008F10B0" w:rsidP="008F10B0">
            <w:pPr>
              <w:pStyle w:val="BodyText"/>
              <w:keepNext w:val="0"/>
              <w:keepLines w:val="0"/>
              <w:ind w:left="480"/>
            </w:pPr>
            <w:r w:rsidRPr="008F10B0">
              <w:t>Prior to widening, treatment of existing joints, edges and/or kerbs shall apply with the following:</w:t>
            </w:r>
          </w:p>
        </w:tc>
      </w:tr>
      <w:tr w:rsidR="008F10B0" w:rsidTr="008F10B0">
        <w:trPr>
          <w:trHeight w:val="267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8F10B0" w:rsidRDefault="008F10B0" w:rsidP="008F10B0">
            <w:pPr>
              <w:pStyle w:val="BodyText"/>
              <w:keepNext w:val="0"/>
              <w:keepLines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F10B0" w:rsidRPr="0051310C" w:rsidRDefault="008F10B0" w:rsidP="008F10B0">
            <w:pPr>
              <w:pStyle w:val="TableHeading"/>
              <w:keepNext w:val="0"/>
              <w:keepLines w:val="0"/>
            </w:pPr>
            <w:r>
              <w:t>Control/c</w:t>
            </w:r>
            <w:r w:rsidRPr="0051310C">
              <w:t>hainage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F10B0" w:rsidRPr="0051310C" w:rsidRDefault="008F10B0" w:rsidP="008F10B0">
            <w:pPr>
              <w:pStyle w:val="TableHeading"/>
              <w:keepNext w:val="0"/>
              <w:keepLines w:val="0"/>
            </w:pPr>
            <w:r>
              <w:t>Treatment t</w:t>
            </w:r>
            <w:r w:rsidRPr="0051310C">
              <w:t>ype</w:t>
            </w:r>
            <w:r w:rsidRPr="008F10B0">
              <w:rPr>
                <w:vertAlign w:val="superscript"/>
              </w:rPr>
              <w:t>(1)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F10B0" w:rsidRDefault="008F10B0" w:rsidP="008F10B0">
            <w:pPr>
              <w:pStyle w:val="TableHeading"/>
              <w:keepNext w:val="0"/>
              <w:keepLines w:val="0"/>
            </w:pPr>
            <w:r w:rsidRPr="0051310C">
              <w:t>Details</w:t>
            </w:r>
          </w:p>
        </w:tc>
      </w:tr>
      <w:tr w:rsidR="008F10B0" w:rsidTr="008F10B0">
        <w:trPr>
          <w:trHeight w:val="70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F10B0" w:rsidRDefault="008F10B0" w:rsidP="008F10B0">
            <w:pPr>
              <w:pStyle w:val="BodyText"/>
              <w:keepNext w:val="0"/>
              <w:keepLines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</w:tr>
      <w:tr w:rsidR="008F10B0" w:rsidTr="008F10B0">
        <w:trPr>
          <w:trHeight w:val="70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F10B0" w:rsidRDefault="008F10B0" w:rsidP="008F10B0">
            <w:pPr>
              <w:pStyle w:val="BodyText"/>
              <w:keepNext w:val="0"/>
              <w:keepLines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</w:tr>
      <w:tr w:rsidR="008F10B0" w:rsidTr="008F10B0">
        <w:trPr>
          <w:trHeight w:val="169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F10B0" w:rsidRDefault="008F10B0" w:rsidP="008F10B0">
            <w:pPr>
              <w:pStyle w:val="BodyText"/>
              <w:keepNext w:val="0"/>
              <w:keepLines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</w:tr>
      <w:tr w:rsidR="008F10B0" w:rsidTr="008F10B0">
        <w:trPr>
          <w:trHeight w:val="89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F10B0" w:rsidRDefault="008F10B0" w:rsidP="008F10B0">
            <w:pPr>
              <w:pStyle w:val="BodyText"/>
              <w:keepNext w:val="0"/>
              <w:keepLines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0" w:rsidRDefault="008F10B0" w:rsidP="008F10B0">
            <w:pPr>
              <w:pStyle w:val="TableBodyText"/>
              <w:keepNext w:val="0"/>
              <w:keepLines w:val="0"/>
            </w:pPr>
          </w:p>
        </w:tc>
      </w:tr>
    </w:tbl>
    <w:p w:rsidR="008F10B0" w:rsidRDefault="008F10B0" w:rsidP="008F10B0">
      <w:pPr>
        <w:pStyle w:val="TableNotes"/>
        <w:keepNext w:val="0"/>
        <w:keepLines w:val="0"/>
        <w:ind w:left="574"/>
      </w:pPr>
      <w:proofErr w:type="gramStart"/>
      <w:r>
        <w:t>Note :</w:t>
      </w:r>
      <w:proofErr w:type="gramEnd"/>
    </w:p>
    <w:p w:rsidR="008F10B0" w:rsidRDefault="008F10B0" w:rsidP="008F10B0">
      <w:pPr>
        <w:pStyle w:val="TableNotes"/>
        <w:keepNext w:val="0"/>
        <w:keepLines w:val="0"/>
        <w:ind w:left="574"/>
      </w:pPr>
      <w:r>
        <w:t xml:space="preserve">(1) Treatments may include: </w:t>
      </w:r>
    </w:p>
    <w:p w:rsidR="008F10B0" w:rsidRDefault="008F10B0" w:rsidP="008F10B0">
      <w:pPr>
        <w:pStyle w:val="TableNotes"/>
        <w:keepNext w:val="0"/>
        <w:keepLines w:val="0"/>
        <w:ind w:left="826"/>
      </w:pPr>
      <w:r>
        <w:t xml:space="preserve">a) </w:t>
      </w:r>
      <w:proofErr w:type="gramStart"/>
      <w:r>
        <w:t>sawing</w:t>
      </w:r>
      <w:proofErr w:type="gramEnd"/>
      <w:r w:rsidR="00DD0021">
        <w:t xml:space="preserve"> and removal of the outer edg</w:t>
      </w:r>
      <w:r w:rsidR="00864091">
        <w:t>e</w:t>
      </w:r>
    </w:p>
    <w:p w:rsidR="008F10B0" w:rsidRDefault="008F10B0" w:rsidP="008F10B0">
      <w:pPr>
        <w:pStyle w:val="TableNotes"/>
        <w:keepNext w:val="0"/>
        <w:keepLines w:val="0"/>
        <w:ind w:left="826"/>
      </w:pPr>
      <w:r>
        <w:lastRenderedPageBreak/>
        <w:t>b)</w:t>
      </w:r>
      <w:r w:rsidR="00DD0021">
        <w:t xml:space="preserve"> </w:t>
      </w:r>
      <w:proofErr w:type="spellStart"/>
      <w:proofErr w:type="gramStart"/>
      <w:r w:rsidR="00DD0021">
        <w:t>scabbling</w:t>
      </w:r>
      <w:proofErr w:type="spellEnd"/>
      <w:proofErr w:type="gramEnd"/>
      <w:r w:rsidR="00DD0021">
        <w:t xml:space="preserve"> of the exposed face</w:t>
      </w:r>
    </w:p>
    <w:p w:rsidR="008F10B0" w:rsidRDefault="008F10B0" w:rsidP="008F10B0">
      <w:pPr>
        <w:pStyle w:val="TableNotes"/>
        <w:keepNext w:val="0"/>
        <w:keepLines w:val="0"/>
        <w:ind w:left="826"/>
      </w:pPr>
      <w:r>
        <w:t xml:space="preserve">c) </w:t>
      </w:r>
      <w:proofErr w:type="gramStart"/>
      <w:r>
        <w:t>modifica</w:t>
      </w:r>
      <w:r w:rsidR="00DD0021">
        <w:t>tions</w:t>
      </w:r>
      <w:proofErr w:type="gramEnd"/>
      <w:r w:rsidR="00DD0021">
        <w:t xml:space="preserve"> of existing corrugations</w:t>
      </w:r>
    </w:p>
    <w:p w:rsidR="00075B74" w:rsidRDefault="008F10B0" w:rsidP="008F10B0">
      <w:pPr>
        <w:pStyle w:val="TableNotes"/>
        <w:keepNext w:val="0"/>
        <w:keepLines w:val="0"/>
        <w:ind w:left="826"/>
      </w:pPr>
      <w:r>
        <w:t xml:space="preserve">d) </w:t>
      </w:r>
      <w:proofErr w:type="gramStart"/>
      <w:r>
        <w:t>installation</w:t>
      </w:r>
      <w:proofErr w:type="gramEnd"/>
      <w:r>
        <w:t xml:space="preserve"> of drill-ties.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:rsidTr="00A07044">
        <w:tc>
          <w:tcPr>
            <w:tcW w:w="9060" w:type="dxa"/>
            <w:gridSpan w:val="2"/>
          </w:tcPr>
          <w:p w:rsidR="0003466A" w:rsidRDefault="00DD0021" w:rsidP="008F10B0">
            <w:pPr>
              <w:pStyle w:val="Heading1"/>
              <w:outlineLvl w:val="0"/>
            </w:pPr>
            <w:r>
              <w:t>Ride quality testing (Appendix </w:t>
            </w:r>
            <w:r w:rsidR="008F10B0" w:rsidRPr="008F10B0">
              <w:t>P10)</w:t>
            </w:r>
          </w:p>
        </w:tc>
      </w:tr>
      <w:tr w:rsidR="0003466A" w:rsidTr="00847E29">
        <w:tc>
          <w:tcPr>
            <w:tcW w:w="560" w:type="dxa"/>
          </w:tcPr>
          <w:p w:rsidR="0003466A" w:rsidRDefault="0003466A" w:rsidP="00A07044">
            <w:pPr>
              <w:pStyle w:val="BodyText"/>
            </w:pPr>
          </w:p>
        </w:tc>
        <w:tc>
          <w:tcPr>
            <w:tcW w:w="8500" w:type="dxa"/>
          </w:tcPr>
          <w:p w:rsidR="0003466A" w:rsidRDefault="008F10B0" w:rsidP="008F10B0">
            <w:pPr>
              <w:pStyle w:val="BodyText"/>
              <w:keepNext w:val="0"/>
              <w:keepLines w:val="0"/>
              <w:ind w:left="-122"/>
            </w:pPr>
            <w:r w:rsidRPr="008F10B0">
              <w:t>The following table shall be read in conjunction with (and provide info</w:t>
            </w:r>
            <w:r w:rsidR="00DD0021">
              <w:t>rmation supplementary to) Table </w:t>
            </w:r>
            <w:r w:rsidRPr="008F10B0">
              <w:t>P10.1 of MRTS40.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8F10B0" w:rsidTr="00EF37A9">
              <w:tc>
                <w:tcPr>
                  <w:tcW w:w="8274" w:type="dxa"/>
                  <w:gridSpan w:val="4"/>
                </w:tcPr>
                <w:p w:rsidR="008F10B0" w:rsidRDefault="008F10B0" w:rsidP="00DD0021">
                  <w:pPr>
                    <w:pStyle w:val="TableHeading"/>
                  </w:pPr>
                  <w:r w:rsidRPr="008F10B0">
                    <w:t xml:space="preserve">Nominated </w:t>
                  </w:r>
                  <w:r w:rsidR="00DD0021">
                    <w:t>p</w:t>
                  </w:r>
                  <w:r w:rsidRPr="008F10B0">
                    <w:t>roject-</w:t>
                  </w:r>
                  <w:r w:rsidR="00DD0021">
                    <w:t>s</w:t>
                  </w:r>
                  <w:r w:rsidRPr="008F10B0">
                    <w:t xml:space="preserve">pecific </w:t>
                  </w:r>
                  <w:r w:rsidR="00DD0021">
                    <w:t>a</w:t>
                  </w:r>
                  <w:r w:rsidRPr="008F10B0">
                    <w:t>reas</w:t>
                  </w:r>
                  <w:r w:rsidRPr="008F10B0">
                    <w:rPr>
                      <w:vertAlign w:val="superscript"/>
                    </w:rPr>
                    <w:t>(1)</w:t>
                  </w:r>
                </w:p>
              </w:tc>
            </w:tr>
            <w:tr w:rsidR="008F10B0" w:rsidTr="003D4554">
              <w:tc>
                <w:tcPr>
                  <w:tcW w:w="2068" w:type="dxa"/>
                  <w:vAlign w:val="top"/>
                </w:tcPr>
                <w:p w:rsidR="008F10B0" w:rsidRPr="0098109F" w:rsidRDefault="008F10B0" w:rsidP="008F10B0">
                  <w:pPr>
                    <w:pStyle w:val="TableHeading"/>
                  </w:pPr>
                  <w:r w:rsidRPr="0098109F">
                    <w:t>Location</w:t>
                  </w:r>
                </w:p>
              </w:tc>
              <w:tc>
                <w:tcPr>
                  <w:tcW w:w="2068" w:type="dxa"/>
                  <w:vAlign w:val="top"/>
                </w:tcPr>
                <w:p w:rsidR="008F10B0" w:rsidRPr="0098109F" w:rsidRDefault="008F10B0" w:rsidP="008F10B0">
                  <w:pPr>
                    <w:pStyle w:val="TableHeading"/>
                  </w:pPr>
                  <w:r w:rsidRPr="0098109F">
                    <w:t>Control/Chainage</w:t>
                  </w:r>
                </w:p>
              </w:tc>
              <w:tc>
                <w:tcPr>
                  <w:tcW w:w="2069" w:type="dxa"/>
                  <w:vAlign w:val="top"/>
                </w:tcPr>
                <w:p w:rsidR="008F10B0" w:rsidRPr="0098109F" w:rsidRDefault="008F10B0" w:rsidP="008F10B0">
                  <w:pPr>
                    <w:pStyle w:val="TableHeading"/>
                  </w:pPr>
                  <w:r w:rsidRPr="0098109F">
                    <w:t>Assessable?</w:t>
                  </w:r>
                  <w:r>
                    <w:t xml:space="preserve"> (Yes/No)</w:t>
                  </w:r>
                </w:p>
              </w:tc>
              <w:tc>
                <w:tcPr>
                  <w:tcW w:w="2069" w:type="dxa"/>
                  <w:vAlign w:val="top"/>
                </w:tcPr>
                <w:p w:rsidR="008F10B0" w:rsidRPr="0098109F" w:rsidRDefault="008F10B0" w:rsidP="008F10B0">
                  <w:pPr>
                    <w:pStyle w:val="TableHeading"/>
                  </w:pPr>
                  <w:r>
                    <w:t>PRC</w:t>
                  </w:r>
                </w:p>
              </w:tc>
            </w:tr>
            <w:tr w:rsidR="00847E29" w:rsidTr="008F10B0">
              <w:tc>
                <w:tcPr>
                  <w:tcW w:w="2068" w:type="dxa"/>
                  <w:vMerge w:val="restart"/>
                </w:tcPr>
                <w:p w:rsidR="00847E29" w:rsidRDefault="00847E29" w:rsidP="008F10B0">
                  <w:pPr>
                    <w:pStyle w:val="TableBodyText"/>
                  </w:pPr>
                  <w:r w:rsidRPr="00847E29">
                    <w:t>Through carriageways</w:t>
                  </w:r>
                </w:p>
              </w:tc>
              <w:tc>
                <w:tcPr>
                  <w:tcW w:w="2068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</w:tr>
            <w:tr w:rsidR="00847E29" w:rsidTr="008F10B0">
              <w:tc>
                <w:tcPr>
                  <w:tcW w:w="2068" w:type="dxa"/>
                  <w:vMerge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8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</w:tr>
            <w:tr w:rsidR="00847E29" w:rsidTr="008F10B0">
              <w:tc>
                <w:tcPr>
                  <w:tcW w:w="2068" w:type="dxa"/>
                  <w:vMerge w:val="restart"/>
                </w:tcPr>
                <w:p w:rsidR="00847E29" w:rsidRDefault="00847E29" w:rsidP="008F10B0">
                  <w:pPr>
                    <w:pStyle w:val="TableBodyText"/>
                  </w:pPr>
                  <w:r>
                    <w:t>Ramps</w:t>
                  </w:r>
                </w:p>
              </w:tc>
              <w:tc>
                <w:tcPr>
                  <w:tcW w:w="2068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</w:tr>
            <w:tr w:rsidR="00847E29" w:rsidTr="008F10B0">
              <w:tc>
                <w:tcPr>
                  <w:tcW w:w="2068" w:type="dxa"/>
                  <w:vMerge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8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</w:tr>
            <w:tr w:rsidR="00847E29" w:rsidTr="008F10B0">
              <w:tc>
                <w:tcPr>
                  <w:tcW w:w="2068" w:type="dxa"/>
                  <w:vMerge w:val="restart"/>
                </w:tcPr>
                <w:p w:rsidR="00847E29" w:rsidRDefault="00847E29" w:rsidP="008F10B0">
                  <w:pPr>
                    <w:pStyle w:val="TableBodyText"/>
                  </w:pPr>
                  <w:r>
                    <w:t>Minor roads</w:t>
                  </w:r>
                </w:p>
              </w:tc>
              <w:tc>
                <w:tcPr>
                  <w:tcW w:w="2068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</w:tr>
            <w:tr w:rsidR="00847E29" w:rsidTr="008F10B0">
              <w:tc>
                <w:tcPr>
                  <w:tcW w:w="2068" w:type="dxa"/>
                  <w:vMerge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8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</w:tr>
            <w:tr w:rsidR="00847E29" w:rsidTr="008F10B0">
              <w:tc>
                <w:tcPr>
                  <w:tcW w:w="2068" w:type="dxa"/>
                  <w:vMerge w:val="restart"/>
                </w:tcPr>
                <w:p w:rsidR="00847E29" w:rsidRDefault="00847E29" w:rsidP="008F10B0">
                  <w:pPr>
                    <w:pStyle w:val="TableBodyText"/>
                  </w:pPr>
                  <w:r>
                    <w:t>Under asphalt surfacing</w:t>
                  </w:r>
                </w:p>
              </w:tc>
              <w:tc>
                <w:tcPr>
                  <w:tcW w:w="2068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47E29">
                  <w:pPr>
                    <w:pStyle w:val="TableBodyText"/>
                    <w:jc w:val="center"/>
                  </w:pPr>
                  <w:r>
                    <w:t>Yes</w:t>
                  </w:r>
                </w:p>
              </w:tc>
              <w:tc>
                <w:tcPr>
                  <w:tcW w:w="2069" w:type="dxa"/>
                </w:tcPr>
                <w:p w:rsidR="00847E29" w:rsidRDefault="00847E29" w:rsidP="00847E29">
                  <w:pPr>
                    <w:pStyle w:val="TableBodyText"/>
                    <w:jc w:val="center"/>
                  </w:pPr>
                  <w:r>
                    <w:t>5</w:t>
                  </w:r>
                </w:p>
              </w:tc>
            </w:tr>
            <w:tr w:rsidR="00847E29" w:rsidTr="008F10B0">
              <w:tc>
                <w:tcPr>
                  <w:tcW w:w="2068" w:type="dxa"/>
                  <w:vMerge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8" w:type="dxa"/>
                </w:tcPr>
                <w:p w:rsidR="00847E29" w:rsidRDefault="00847E29" w:rsidP="008F10B0">
                  <w:pPr>
                    <w:pStyle w:val="TableBodyText"/>
                  </w:pPr>
                </w:p>
              </w:tc>
              <w:tc>
                <w:tcPr>
                  <w:tcW w:w="2069" w:type="dxa"/>
                </w:tcPr>
                <w:p w:rsidR="00847E29" w:rsidRDefault="00847E29" w:rsidP="00847E29">
                  <w:pPr>
                    <w:pStyle w:val="TableBodyText"/>
                    <w:jc w:val="center"/>
                  </w:pPr>
                  <w:r>
                    <w:t>No</w:t>
                  </w:r>
                </w:p>
              </w:tc>
              <w:tc>
                <w:tcPr>
                  <w:tcW w:w="2069" w:type="dxa"/>
                </w:tcPr>
                <w:p w:rsidR="00847E29" w:rsidRDefault="00847E29" w:rsidP="00847E29">
                  <w:pPr>
                    <w:pStyle w:val="TableBodyText"/>
                    <w:jc w:val="center"/>
                  </w:pPr>
                  <w:r>
                    <w:t>Not applicable</w:t>
                  </w:r>
                </w:p>
              </w:tc>
            </w:tr>
          </w:tbl>
          <w:p w:rsidR="00847E29" w:rsidRDefault="00847E29" w:rsidP="00847E29">
            <w:pPr>
              <w:pStyle w:val="TableNotes"/>
            </w:pPr>
            <w:r>
              <w:t>Note :</w:t>
            </w:r>
          </w:p>
          <w:p w:rsidR="008F10B0" w:rsidRDefault="00847E29" w:rsidP="00847E29">
            <w:pPr>
              <w:pStyle w:val="TableNotes"/>
            </w:pPr>
            <w:r>
              <w:t>(1) Nominations are to be limited to areas</w:t>
            </w:r>
            <w:r w:rsidR="00DD0021">
              <w:t xml:space="preserve"> which are not covered in Table </w:t>
            </w:r>
            <w:r>
              <w:t>P10.1 of MRTS40.</w:t>
            </w:r>
          </w:p>
        </w:tc>
      </w:tr>
    </w:tbl>
    <w:p w:rsidR="00C3039A" w:rsidRDefault="00C3039A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47E29" w:rsidTr="00386B83">
        <w:tc>
          <w:tcPr>
            <w:tcW w:w="9060" w:type="dxa"/>
            <w:gridSpan w:val="2"/>
          </w:tcPr>
          <w:p w:rsidR="00847E29" w:rsidRPr="00847E29" w:rsidRDefault="00847E29" w:rsidP="00847E29">
            <w:pPr>
              <w:pStyle w:val="Heading1"/>
              <w:outlineLvl w:val="0"/>
            </w:pPr>
            <w:r w:rsidRPr="00847E29">
              <w:t>Supplementary requirements (Clause</w:t>
            </w:r>
            <w:r w:rsidR="00DD0021">
              <w:t> </w:t>
            </w:r>
            <w:r w:rsidRPr="00847E29">
              <w:t>11)</w:t>
            </w:r>
          </w:p>
          <w:p w:rsidR="00847E29" w:rsidRDefault="00847E29" w:rsidP="00847E29">
            <w:pPr>
              <w:pStyle w:val="BodyText"/>
              <w:ind w:left="438"/>
            </w:pPr>
            <w:r w:rsidRPr="00847E29">
              <w:t>The following supplementary requirements shall apply.</w:t>
            </w:r>
          </w:p>
        </w:tc>
      </w:tr>
      <w:tr w:rsidR="00847E29" w:rsidTr="00386B83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847E29" w:rsidRDefault="00847E29" w:rsidP="00386B83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47E29" w:rsidRDefault="00847E29" w:rsidP="00386B83">
            <w:pPr>
              <w:pStyle w:val="BodyText"/>
            </w:pPr>
          </w:p>
        </w:tc>
      </w:tr>
    </w:tbl>
    <w:p w:rsidR="00847E29" w:rsidRDefault="00847E29" w:rsidP="0064699C">
      <w:pPr>
        <w:pStyle w:val="BodyText"/>
      </w:pPr>
    </w:p>
    <w:sectPr w:rsidR="00847E29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810543">
      <w:t>November 2018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3724D8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DD0021">
      <w:t>40.1 Concrete Pavement Base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49331BC"/>
    <w:multiLevelType w:val="multilevel"/>
    <w:tmpl w:val="168C5AE8"/>
    <w:numStyleLink w:val="ListAllLetter3Level"/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7"/>
    <w:lvlOverride w:ilvl="0">
      <w:lvl w:ilvl="0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hint="default"/>
          <w:sz w:val="20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24D8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0543"/>
    <w:rsid w:val="00811807"/>
    <w:rsid w:val="00836DC0"/>
    <w:rsid w:val="00847E29"/>
    <w:rsid w:val="008510B4"/>
    <w:rsid w:val="00864091"/>
    <w:rsid w:val="008807C8"/>
    <w:rsid w:val="008840A9"/>
    <w:rsid w:val="008843E8"/>
    <w:rsid w:val="008A19A0"/>
    <w:rsid w:val="008B3748"/>
    <w:rsid w:val="008B61BF"/>
    <w:rsid w:val="008D02E2"/>
    <w:rsid w:val="008F10B0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D0021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7E29"/>
    <w:rPr>
      <w:rFonts w:ascii="Arial" w:hAnsi="Arial" w:cs="Arial"/>
      <w:b/>
      <w:bCs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c972935-d489-4a83-af2a-c34816ed2832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23</TotalTime>
  <Pages>2</Pages>
  <Words>260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MRTS40.1 - Annexure</vt:lpstr>
    </vt:vector>
  </TitlesOfParts>
  <Company>Department of Transport and Main Roads</Company>
  <LinksUpToDate>false</LinksUpToDate>
  <CharactersWithSpaces>1890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MRTS40.1 - Annexure</dc:title>
  <dc:subject>Concrete Pavement Base</dc:subject>
  <dc:creator>Department of Transport and Main Roads</dc:creator>
  <cp:keywords>Specification; Technical; Standard; Contract; Tender; Construction; Design</cp:keywords>
  <dc:description/>
  <cp:lastModifiedBy>Carmel Z Bonaventura</cp:lastModifiedBy>
  <cp:revision>11</cp:revision>
  <cp:lastPrinted>2013-06-20T03:17:00Z</cp:lastPrinted>
  <dcterms:created xsi:type="dcterms:W3CDTF">2017-01-24T05:13:00Z</dcterms:created>
  <dcterms:modified xsi:type="dcterms:W3CDTF">2018-10-11T00:43:00Z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