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5406" w14:textId="221D2FD4" w:rsidR="00AE72A9" w:rsidRPr="00CE6618" w:rsidRDefault="00BA0926" w:rsidP="00AE72A9">
      <w:pPr>
        <w:pStyle w:val="Cover2subtitle"/>
      </w:pPr>
      <w:bookmarkStart w:id="0" w:name="_Toc359423352"/>
      <w:bookmarkStart w:id="1" w:name="_Toc359424807"/>
      <w:r>
        <w:t xml:space="preserve">Appendix </w:t>
      </w:r>
      <w:r w:rsidR="002C28B5">
        <w:t>E</w:t>
      </w:r>
    </w:p>
    <w:p w14:paraId="7B3D5407" w14:textId="77777777" w:rsidR="00CA3157" w:rsidRPr="00CE6618" w:rsidRDefault="00CA3157" w:rsidP="00AE72A9">
      <w:pPr>
        <w:pStyle w:val="Cover2subtitle"/>
      </w:pPr>
    </w:p>
    <w:bookmarkEnd w:id="0"/>
    <w:bookmarkEnd w:id="1"/>
    <w:p w14:paraId="7B3D5408" w14:textId="4EC709A3" w:rsidR="00117AA8" w:rsidRPr="00CE6618" w:rsidRDefault="00BA0926" w:rsidP="00C226B2">
      <w:pPr>
        <w:pStyle w:val="Cover1title"/>
        <w:outlineLvl w:val="9"/>
      </w:pPr>
      <w:r>
        <w:t>Guid</w:t>
      </w:r>
      <w:r w:rsidR="002C28B5">
        <w:t xml:space="preserve">ance Note – </w:t>
      </w:r>
      <w:r w:rsidR="00994D97">
        <w:t>I</w:t>
      </w:r>
      <w:r>
        <w:t xml:space="preserve">ncorporating </w:t>
      </w:r>
      <w:r w:rsidR="00994D97">
        <w:t>S</w:t>
      </w:r>
      <w:r>
        <w:t xml:space="preserve">ustainability into </w:t>
      </w:r>
      <w:r w:rsidR="00994D97">
        <w:t>P</w:t>
      </w:r>
      <w:r>
        <w:t xml:space="preserve">roject </w:t>
      </w:r>
      <w:r w:rsidR="00994D97">
        <w:t>D</w:t>
      </w:r>
      <w:r>
        <w:t>ecision</w:t>
      </w:r>
      <w:r w:rsidR="009A39CB">
        <w:t>-</w:t>
      </w:r>
      <w:r w:rsidR="00994D97">
        <w:t>M</w:t>
      </w:r>
      <w:r>
        <w:t>aking</w:t>
      </w:r>
    </w:p>
    <w:p w14:paraId="7B3D5409" w14:textId="77777777" w:rsidR="00CA3157" w:rsidRPr="00CE6618" w:rsidRDefault="00CA3157" w:rsidP="00376A0A">
      <w:pPr>
        <w:pStyle w:val="Cover2subtitle"/>
      </w:pPr>
    </w:p>
    <w:p w14:paraId="7B3D540A" w14:textId="7072CB9B" w:rsidR="00C50278" w:rsidRPr="00CE6618" w:rsidRDefault="00D87138" w:rsidP="00376A0A">
      <w:pPr>
        <w:pStyle w:val="Cover2subtitle"/>
      </w:pPr>
      <w:r>
        <w:t>June 2024</w:t>
      </w:r>
    </w:p>
    <w:p w14:paraId="7B3D540B" w14:textId="77777777" w:rsidR="00FC7935" w:rsidRPr="00CE6618" w:rsidRDefault="00FC7935" w:rsidP="00376A0A">
      <w:pPr>
        <w:pStyle w:val="Cover2subtitle"/>
      </w:pPr>
    </w:p>
    <w:p w14:paraId="7B3D540C" w14:textId="77777777" w:rsidR="00996C59" w:rsidRPr="00CE6618" w:rsidRDefault="00996C59" w:rsidP="00627EC8">
      <w:pPr>
        <w:pStyle w:val="BodyText"/>
        <w:ind w:right="-888"/>
        <w:rPr>
          <w:b/>
          <w:color w:val="FFFFFF"/>
          <w:sz w:val="44"/>
          <w:szCs w:val="44"/>
        </w:rPr>
        <w:sectPr w:rsidR="00996C59" w:rsidRPr="00CE6618" w:rsidSect="00627EC8">
          <w:headerReference w:type="default" r:id="rId12"/>
          <w:footerReference w:type="even" r:id="rId13"/>
          <w:footerReference w:type="default" r:id="rId14"/>
          <w:headerReference w:type="first" r:id="rId15"/>
          <w:pgSz w:w="11906" w:h="16838" w:code="9"/>
          <w:pgMar w:top="11499" w:right="1418" w:bottom="1797" w:left="720" w:header="454" w:footer="454" w:gutter="0"/>
          <w:cols w:space="708"/>
          <w:titlePg/>
          <w:docGrid w:linePitch="360"/>
        </w:sectPr>
      </w:pPr>
    </w:p>
    <w:p w14:paraId="7B3D540D" w14:textId="77777777" w:rsidR="00216F79" w:rsidRPr="00CE6618" w:rsidRDefault="00216F79" w:rsidP="00216F79">
      <w:pPr>
        <w:pStyle w:val="BodyText"/>
      </w:pPr>
    </w:p>
    <w:p w14:paraId="7B3D540E" w14:textId="77777777" w:rsidR="00350E10" w:rsidRPr="00CE6618" w:rsidRDefault="00350E10" w:rsidP="00216F79">
      <w:pPr>
        <w:pStyle w:val="BodyText"/>
      </w:pPr>
    </w:p>
    <w:p w14:paraId="7B3D540F" w14:textId="77777777" w:rsidR="00350E10" w:rsidRPr="00CE6618" w:rsidRDefault="00350E10" w:rsidP="00216F79">
      <w:pPr>
        <w:pStyle w:val="BodyText"/>
        <w:sectPr w:rsidR="00350E10" w:rsidRPr="00CE6618" w:rsidSect="00D56593">
          <w:headerReference w:type="default" r:id="rId16"/>
          <w:footerReference w:type="default" r:id="rId17"/>
          <w:headerReference w:type="first" r:id="rId18"/>
          <w:footerReference w:type="first" r:id="rId19"/>
          <w:pgSz w:w="11906" w:h="16838" w:code="9"/>
          <w:pgMar w:top="1418" w:right="1418" w:bottom="1418" w:left="1418" w:header="454" w:footer="454" w:gutter="0"/>
          <w:cols w:space="708"/>
          <w:docGrid w:linePitch="360"/>
        </w:sectPr>
      </w:pPr>
    </w:p>
    <w:p w14:paraId="7B3D5410" w14:textId="77777777" w:rsidR="00376A0A" w:rsidRPr="00CE6618" w:rsidRDefault="00376A0A" w:rsidP="00C226B2">
      <w:pPr>
        <w:pStyle w:val="HeadingContents"/>
        <w:outlineLvl w:val="0"/>
      </w:pPr>
      <w:r w:rsidRPr="00CE6618">
        <w:lastRenderedPageBreak/>
        <w:t>Contents</w:t>
      </w:r>
    </w:p>
    <w:p w14:paraId="7EEC8104" w14:textId="1C10EC1A" w:rsidR="00D247AD" w:rsidRDefault="00172FEB">
      <w:pPr>
        <w:pStyle w:val="TOC1"/>
        <w:rPr>
          <w:rFonts w:asciiTheme="minorHAnsi" w:eastAsiaTheme="minorEastAsia" w:hAnsiTheme="minorHAnsi" w:cstheme="minorBidi"/>
          <w:b w:val="0"/>
          <w:kern w:val="2"/>
          <w:sz w:val="22"/>
          <w:szCs w:val="22"/>
          <w14:ligatures w14:val="standardContextual"/>
        </w:rPr>
      </w:pPr>
      <w:r w:rsidRPr="00CE6618">
        <w:fldChar w:fldCharType="begin"/>
      </w:r>
      <w:r w:rsidRPr="00CE6618">
        <w:instrText xml:space="preserve"> TOC \o "2-3" \h \z \t "Heading 1,1,Heading (Part / Chapter),1" </w:instrText>
      </w:r>
      <w:r w:rsidRPr="00CE6618">
        <w:fldChar w:fldCharType="separate"/>
      </w:r>
      <w:hyperlink w:anchor="_Toc168572181" w:history="1">
        <w:r w:rsidR="00D247AD" w:rsidRPr="00BF2947">
          <w:rPr>
            <w:rStyle w:val="Hyperlink"/>
          </w:rPr>
          <w:t>1</w:t>
        </w:r>
        <w:r w:rsidR="00D247AD">
          <w:rPr>
            <w:rFonts w:asciiTheme="minorHAnsi" w:eastAsiaTheme="minorEastAsia" w:hAnsiTheme="minorHAnsi" w:cstheme="minorBidi"/>
            <w:b w:val="0"/>
            <w:kern w:val="2"/>
            <w:sz w:val="22"/>
            <w:szCs w:val="22"/>
            <w14:ligatures w14:val="standardContextual"/>
          </w:rPr>
          <w:tab/>
        </w:r>
        <w:r w:rsidR="00D247AD" w:rsidRPr="00BF2947">
          <w:rPr>
            <w:rStyle w:val="Hyperlink"/>
          </w:rPr>
          <w:t>Purpose of this document</w:t>
        </w:r>
        <w:r w:rsidR="00D247AD">
          <w:rPr>
            <w:webHidden/>
          </w:rPr>
          <w:tab/>
        </w:r>
        <w:r w:rsidR="00D247AD">
          <w:rPr>
            <w:webHidden/>
          </w:rPr>
          <w:fldChar w:fldCharType="begin"/>
        </w:r>
        <w:r w:rsidR="00D247AD">
          <w:rPr>
            <w:webHidden/>
          </w:rPr>
          <w:instrText xml:space="preserve"> PAGEREF _Toc168572181 \h </w:instrText>
        </w:r>
        <w:r w:rsidR="00D247AD">
          <w:rPr>
            <w:webHidden/>
          </w:rPr>
        </w:r>
        <w:r w:rsidR="00D247AD">
          <w:rPr>
            <w:webHidden/>
          </w:rPr>
          <w:fldChar w:fldCharType="separate"/>
        </w:r>
        <w:r w:rsidR="00D247AD">
          <w:rPr>
            <w:webHidden/>
          </w:rPr>
          <w:t>1</w:t>
        </w:r>
        <w:r w:rsidR="00D247AD">
          <w:rPr>
            <w:webHidden/>
          </w:rPr>
          <w:fldChar w:fldCharType="end"/>
        </w:r>
      </w:hyperlink>
    </w:p>
    <w:p w14:paraId="521E64F9" w14:textId="1A339466" w:rsidR="00D247AD" w:rsidRDefault="00D247AD">
      <w:pPr>
        <w:pStyle w:val="TOC1"/>
        <w:rPr>
          <w:rFonts w:asciiTheme="minorHAnsi" w:eastAsiaTheme="minorEastAsia" w:hAnsiTheme="minorHAnsi" w:cstheme="minorBidi"/>
          <w:b w:val="0"/>
          <w:kern w:val="2"/>
          <w:sz w:val="22"/>
          <w:szCs w:val="22"/>
          <w14:ligatures w14:val="standardContextual"/>
        </w:rPr>
      </w:pPr>
      <w:hyperlink w:anchor="_Toc168572182" w:history="1">
        <w:r w:rsidRPr="00BF2947">
          <w:rPr>
            <w:rStyle w:val="Hyperlink"/>
          </w:rPr>
          <w:t>2</w:t>
        </w:r>
        <w:r>
          <w:rPr>
            <w:rFonts w:asciiTheme="minorHAnsi" w:eastAsiaTheme="minorEastAsia" w:hAnsiTheme="minorHAnsi" w:cstheme="minorBidi"/>
            <w:b w:val="0"/>
            <w:kern w:val="2"/>
            <w:sz w:val="22"/>
            <w:szCs w:val="22"/>
            <w14:ligatures w14:val="standardContextual"/>
          </w:rPr>
          <w:tab/>
        </w:r>
        <w:r w:rsidRPr="00BF2947">
          <w:rPr>
            <w:rStyle w:val="Hyperlink"/>
          </w:rPr>
          <w:t>Defining significant initiatives, decisions and issues</w:t>
        </w:r>
        <w:r>
          <w:rPr>
            <w:webHidden/>
          </w:rPr>
          <w:tab/>
        </w:r>
        <w:r>
          <w:rPr>
            <w:webHidden/>
          </w:rPr>
          <w:fldChar w:fldCharType="begin"/>
        </w:r>
        <w:r>
          <w:rPr>
            <w:webHidden/>
          </w:rPr>
          <w:instrText xml:space="preserve"> PAGEREF _Toc168572182 \h </w:instrText>
        </w:r>
        <w:r>
          <w:rPr>
            <w:webHidden/>
          </w:rPr>
        </w:r>
        <w:r>
          <w:rPr>
            <w:webHidden/>
          </w:rPr>
          <w:fldChar w:fldCharType="separate"/>
        </w:r>
        <w:r>
          <w:rPr>
            <w:webHidden/>
          </w:rPr>
          <w:t>1</w:t>
        </w:r>
        <w:r>
          <w:rPr>
            <w:webHidden/>
          </w:rPr>
          <w:fldChar w:fldCharType="end"/>
        </w:r>
      </w:hyperlink>
    </w:p>
    <w:p w14:paraId="73147B4C" w14:textId="342AD1B4" w:rsidR="00D247AD" w:rsidRDefault="00D247AD">
      <w:pPr>
        <w:pStyle w:val="TOC2"/>
        <w:rPr>
          <w:rFonts w:asciiTheme="minorHAnsi" w:eastAsiaTheme="minorEastAsia" w:hAnsiTheme="minorHAnsi" w:cstheme="minorBidi"/>
          <w:kern w:val="2"/>
          <w:sz w:val="22"/>
          <w:szCs w:val="22"/>
          <w14:ligatures w14:val="standardContextual"/>
        </w:rPr>
      </w:pPr>
      <w:hyperlink w:anchor="_Toc168572183" w:history="1">
        <w:r w:rsidRPr="00BF2947">
          <w:rPr>
            <w:rStyle w:val="Hyperlink"/>
          </w:rPr>
          <w:t>2.1</w:t>
        </w:r>
        <w:r>
          <w:rPr>
            <w:rFonts w:asciiTheme="minorHAnsi" w:eastAsiaTheme="minorEastAsia" w:hAnsiTheme="minorHAnsi" w:cstheme="minorBidi"/>
            <w:kern w:val="2"/>
            <w:sz w:val="22"/>
            <w:szCs w:val="22"/>
            <w14:ligatures w14:val="standardContextual"/>
          </w:rPr>
          <w:tab/>
        </w:r>
        <w:r w:rsidRPr="00BF2947">
          <w:rPr>
            <w:rStyle w:val="Hyperlink"/>
          </w:rPr>
          <w:t>Establishing significance parameters and thresholds</w:t>
        </w:r>
        <w:r>
          <w:rPr>
            <w:webHidden/>
          </w:rPr>
          <w:tab/>
        </w:r>
        <w:r>
          <w:rPr>
            <w:webHidden/>
          </w:rPr>
          <w:fldChar w:fldCharType="begin"/>
        </w:r>
        <w:r>
          <w:rPr>
            <w:webHidden/>
          </w:rPr>
          <w:instrText xml:space="preserve"> PAGEREF _Toc168572183 \h </w:instrText>
        </w:r>
        <w:r>
          <w:rPr>
            <w:webHidden/>
          </w:rPr>
        </w:r>
        <w:r>
          <w:rPr>
            <w:webHidden/>
          </w:rPr>
          <w:fldChar w:fldCharType="separate"/>
        </w:r>
        <w:r>
          <w:rPr>
            <w:webHidden/>
          </w:rPr>
          <w:t>1</w:t>
        </w:r>
        <w:r>
          <w:rPr>
            <w:webHidden/>
          </w:rPr>
          <w:fldChar w:fldCharType="end"/>
        </w:r>
      </w:hyperlink>
    </w:p>
    <w:p w14:paraId="73CB0074" w14:textId="14AA6760" w:rsidR="00D247AD" w:rsidRDefault="00D247AD">
      <w:pPr>
        <w:pStyle w:val="TOC2"/>
        <w:rPr>
          <w:rFonts w:asciiTheme="minorHAnsi" w:eastAsiaTheme="minorEastAsia" w:hAnsiTheme="minorHAnsi" w:cstheme="minorBidi"/>
          <w:kern w:val="2"/>
          <w:sz w:val="22"/>
          <w:szCs w:val="22"/>
          <w14:ligatures w14:val="standardContextual"/>
        </w:rPr>
      </w:pPr>
      <w:hyperlink w:anchor="_Toc168572184" w:history="1">
        <w:r w:rsidRPr="00BF2947">
          <w:rPr>
            <w:rStyle w:val="Hyperlink"/>
          </w:rPr>
          <w:t>2.2</w:t>
        </w:r>
        <w:r>
          <w:rPr>
            <w:rFonts w:asciiTheme="minorHAnsi" w:eastAsiaTheme="minorEastAsia" w:hAnsiTheme="minorHAnsi" w:cstheme="minorBidi"/>
            <w:kern w:val="2"/>
            <w:sz w:val="22"/>
            <w:szCs w:val="22"/>
            <w14:ligatures w14:val="standardContextual"/>
          </w:rPr>
          <w:tab/>
        </w:r>
        <w:r w:rsidRPr="00BF2947">
          <w:rPr>
            <w:rStyle w:val="Hyperlink"/>
          </w:rPr>
          <w:t>Guidance for Planning phase projects</w:t>
        </w:r>
        <w:r>
          <w:rPr>
            <w:webHidden/>
          </w:rPr>
          <w:tab/>
        </w:r>
        <w:r>
          <w:rPr>
            <w:webHidden/>
          </w:rPr>
          <w:fldChar w:fldCharType="begin"/>
        </w:r>
        <w:r>
          <w:rPr>
            <w:webHidden/>
          </w:rPr>
          <w:instrText xml:space="preserve"> PAGEREF _Toc168572184 \h </w:instrText>
        </w:r>
        <w:r>
          <w:rPr>
            <w:webHidden/>
          </w:rPr>
        </w:r>
        <w:r>
          <w:rPr>
            <w:webHidden/>
          </w:rPr>
          <w:fldChar w:fldCharType="separate"/>
        </w:r>
        <w:r>
          <w:rPr>
            <w:webHidden/>
          </w:rPr>
          <w:t>1</w:t>
        </w:r>
        <w:r>
          <w:rPr>
            <w:webHidden/>
          </w:rPr>
          <w:fldChar w:fldCharType="end"/>
        </w:r>
      </w:hyperlink>
    </w:p>
    <w:p w14:paraId="4DDD4712" w14:textId="1CA16370" w:rsidR="00D247AD" w:rsidRDefault="00D247AD">
      <w:pPr>
        <w:pStyle w:val="TOC2"/>
        <w:rPr>
          <w:rFonts w:asciiTheme="minorHAnsi" w:eastAsiaTheme="minorEastAsia" w:hAnsiTheme="minorHAnsi" w:cstheme="minorBidi"/>
          <w:kern w:val="2"/>
          <w:sz w:val="22"/>
          <w:szCs w:val="22"/>
          <w14:ligatures w14:val="standardContextual"/>
        </w:rPr>
      </w:pPr>
      <w:hyperlink w:anchor="_Toc168572185" w:history="1">
        <w:r w:rsidRPr="00BF2947">
          <w:rPr>
            <w:rStyle w:val="Hyperlink"/>
          </w:rPr>
          <w:t>2.3</w:t>
        </w:r>
        <w:r>
          <w:rPr>
            <w:rFonts w:asciiTheme="minorHAnsi" w:eastAsiaTheme="minorEastAsia" w:hAnsiTheme="minorHAnsi" w:cstheme="minorBidi"/>
            <w:kern w:val="2"/>
            <w:sz w:val="22"/>
            <w:szCs w:val="22"/>
            <w14:ligatures w14:val="standardContextual"/>
          </w:rPr>
          <w:tab/>
        </w:r>
        <w:r w:rsidRPr="00BF2947">
          <w:rPr>
            <w:rStyle w:val="Hyperlink"/>
          </w:rPr>
          <w:t>Decision Making Tool application</w:t>
        </w:r>
        <w:r>
          <w:rPr>
            <w:webHidden/>
          </w:rPr>
          <w:tab/>
        </w:r>
        <w:r>
          <w:rPr>
            <w:webHidden/>
          </w:rPr>
          <w:fldChar w:fldCharType="begin"/>
        </w:r>
        <w:r>
          <w:rPr>
            <w:webHidden/>
          </w:rPr>
          <w:instrText xml:space="preserve"> PAGEREF _Toc168572185 \h </w:instrText>
        </w:r>
        <w:r>
          <w:rPr>
            <w:webHidden/>
          </w:rPr>
        </w:r>
        <w:r>
          <w:rPr>
            <w:webHidden/>
          </w:rPr>
          <w:fldChar w:fldCharType="separate"/>
        </w:r>
        <w:r>
          <w:rPr>
            <w:webHidden/>
          </w:rPr>
          <w:t>2</w:t>
        </w:r>
        <w:r>
          <w:rPr>
            <w:webHidden/>
          </w:rPr>
          <w:fldChar w:fldCharType="end"/>
        </w:r>
      </w:hyperlink>
    </w:p>
    <w:p w14:paraId="3CFC4ACA" w14:textId="75723E44" w:rsidR="00D247AD" w:rsidRDefault="00D247AD">
      <w:pPr>
        <w:pStyle w:val="TOC1"/>
        <w:rPr>
          <w:rFonts w:asciiTheme="minorHAnsi" w:eastAsiaTheme="minorEastAsia" w:hAnsiTheme="minorHAnsi" w:cstheme="minorBidi"/>
          <w:b w:val="0"/>
          <w:kern w:val="2"/>
          <w:sz w:val="22"/>
          <w:szCs w:val="22"/>
          <w14:ligatures w14:val="standardContextual"/>
        </w:rPr>
      </w:pPr>
      <w:hyperlink w:anchor="_Toc168572186" w:history="1">
        <w:r w:rsidRPr="00BF2947">
          <w:rPr>
            <w:rStyle w:val="Hyperlink"/>
          </w:rPr>
          <w:t>3</w:t>
        </w:r>
        <w:r>
          <w:rPr>
            <w:rFonts w:asciiTheme="minorHAnsi" w:eastAsiaTheme="minorEastAsia" w:hAnsiTheme="minorHAnsi" w:cstheme="minorBidi"/>
            <w:b w:val="0"/>
            <w:kern w:val="2"/>
            <w:sz w:val="22"/>
            <w:szCs w:val="22"/>
            <w14:ligatures w14:val="standardContextual"/>
          </w:rPr>
          <w:tab/>
        </w:r>
        <w:r w:rsidRPr="00BF2947">
          <w:rPr>
            <w:rStyle w:val="Hyperlink"/>
          </w:rPr>
          <w:t>Defining and applying MCA criteria for significant initiatives, decisions and issues</w:t>
        </w:r>
        <w:r>
          <w:rPr>
            <w:webHidden/>
          </w:rPr>
          <w:tab/>
        </w:r>
        <w:r>
          <w:rPr>
            <w:webHidden/>
          </w:rPr>
          <w:fldChar w:fldCharType="begin"/>
        </w:r>
        <w:r>
          <w:rPr>
            <w:webHidden/>
          </w:rPr>
          <w:instrText xml:space="preserve"> PAGEREF _Toc168572186 \h </w:instrText>
        </w:r>
        <w:r>
          <w:rPr>
            <w:webHidden/>
          </w:rPr>
        </w:r>
        <w:r>
          <w:rPr>
            <w:webHidden/>
          </w:rPr>
          <w:fldChar w:fldCharType="separate"/>
        </w:r>
        <w:r>
          <w:rPr>
            <w:webHidden/>
          </w:rPr>
          <w:t>2</w:t>
        </w:r>
        <w:r>
          <w:rPr>
            <w:webHidden/>
          </w:rPr>
          <w:fldChar w:fldCharType="end"/>
        </w:r>
      </w:hyperlink>
    </w:p>
    <w:p w14:paraId="35CE0BA3" w14:textId="4FA50CBF" w:rsidR="00D247AD" w:rsidRDefault="00D247AD">
      <w:pPr>
        <w:pStyle w:val="TOC2"/>
        <w:rPr>
          <w:rFonts w:asciiTheme="minorHAnsi" w:eastAsiaTheme="minorEastAsia" w:hAnsiTheme="minorHAnsi" w:cstheme="minorBidi"/>
          <w:kern w:val="2"/>
          <w:sz w:val="22"/>
          <w:szCs w:val="22"/>
          <w14:ligatures w14:val="standardContextual"/>
        </w:rPr>
      </w:pPr>
      <w:hyperlink w:anchor="_Toc168572187" w:history="1">
        <w:r w:rsidRPr="00BF2947">
          <w:rPr>
            <w:rStyle w:val="Hyperlink"/>
          </w:rPr>
          <w:t>3.1</w:t>
        </w:r>
        <w:r>
          <w:rPr>
            <w:rFonts w:asciiTheme="minorHAnsi" w:eastAsiaTheme="minorEastAsia" w:hAnsiTheme="minorHAnsi" w:cstheme="minorBidi"/>
            <w:kern w:val="2"/>
            <w:sz w:val="22"/>
            <w:szCs w:val="22"/>
            <w14:ligatures w14:val="standardContextual"/>
          </w:rPr>
          <w:tab/>
        </w:r>
        <w:r w:rsidRPr="00BF2947">
          <w:rPr>
            <w:rStyle w:val="Hyperlink"/>
          </w:rPr>
          <w:t>MCA criteria requirements</w:t>
        </w:r>
        <w:r>
          <w:rPr>
            <w:webHidden/>
          </w:rPr>
          <w:tab/>
        </w:r>
        <w:r>
          <w:rPr>
            <w:webHidden/>
          </w:rPr>
          <w:fldChar w:fldCharType="begin"/>
        </w:r>
        <w:r>
          <w:rPr>
            <w:webHidden/>
          </w:rPr>
          <w:instrText xml:space="preserve"> PAGEREF _Toc168572187 \h </w:instrText>
        </w:r>
        <w:r>
          <w:rPr>
            <w:webHidden/>
          </w:rPr>
        </w:r>
        <w:r>
          <w:rPr>
            <w:webHidden/>
          </w:rPr>
          <w:fldChar w:fldCharType="separate"/>
        </w:r>
        <w:r>
          <w:rPr>
            <w:webHidden/>
          </w:rPr>
          <w:t>2</w:t>
        </w:r>
        <w:r>
          <w:rPr>
            <w:webHidden/>
          </w:rPr>
          <w:fldChar w:fldCharType="end"/>
        </w:r>
      </w:hyperlink>
    </w:p>
    <w:p w14:paraId="3CA14767" w14:textId="54EDD054" w:rsidR="00D247AD" w:rsidRDefault="00D247AD">
      <w:pPr>
        <w:pStyle w:val="TOC2"/>
        <w:rPr>
          <w:rFonts w:asciiTheme="minorHAnsi" w:eastAsiaTheme="minorEastAsia" w:hAnsiTheme="minorHAnsi" w:cstheme="minorBidi"/>
          <w:kern w:val="2"/>
          <w:sz w:val="22"/>
          <w:szCs w:val="22"/>
          <w14:ligatures w14:val="standardContextual"/>
        </w:rPr>
      </w:pPr>
      <w:hyperlink w:anchor="_Toc168572188" w:history="1">
        <w:r w:rsidRPr="00BF2947">
          <w:rPr>
            <w:rStyle w:val="Hyperlink"/>
          </w:rPr>
          <w:t>3.2</w:t>
        </w:r>
        <w:r>
          <w:rPr>
            <w:rFonts w:asciiTheme="minorHAnsi" w:eastAsiaTheme="minorEastAsia" w:hAnsiTheme="minorHAnsi" w:cstheme="minorBidi"/>
            <w:kern w:val="2"/>
            <w:sz w:val="22"/>
            <w:szCs w:val="22"/>
            <w14:ligatures w14:val="standardContextual"/>
          </w:rPr>
          <w:tab/>
        </w:r>
        <w:r w:rsidRPr="00BF2947">
          <w:rPr>
            <w:rStyle w:val="Hyperlink"/>
          </w:rPr>
          <w:t>Decision Making Tool application</w:t>
        </w:r>
        <w:r>
          <w:rPr>
            <w:webHidden/>
          </w:rPr>
          <w:tab/>
        </w:r>
        <w:r>
          <w:rPr>
            <w:webHidden/>
          </w:rPr>
          <w:fldChar w:fldCharType="begin"/>
        </w:r>
        <w:r>
          <w:rPr>
            <w:webHidden/>
          </w:rPr>
          <w:instrText xml:space="preserve"> PAGEREF _Toc168572188 \h </w:instrText>
        </w:r>
        <w:r>
          <w:rPr>
            <w:webHidden/>
          </w:rPr>
        </w:r>
        <w:r>
          <w:rPr>
            <w:webHidden/>
          </w:rPr>
          <w:fldChar w:fldCharType="separate"/>
        </w:r>
        <w:r>
          <w:rPr>
            <w:webHidden/>
          </w:rPr>
          <w:t>3</w:t>
        </w:r>
        <w:r>
          <w:rPr>
            <w:webHidden/>
          </w:rPr>
          <w:fldChar w:fldCharType="end"/>
        </w:r>
      </w:hyperlink>
    </w:p>
    <w:p w14:paraId="7B3D5417" w14:textId="123D166F" w:rsidR="001C6957" w:rsidRPr="00CE6618" w:rsidRDefault="00172FEB" w:rsidP="001C6957">
      <w:pPr>
        <w:pStyle w:val="BodyText"/>
      </w:pPr>
      <w:r w:rsidRPr="00CE6618">
        <w:fldChar w:fldCharType="end"/>
      </w:r>
    </w:p>
    <w:p w14:paraId="7B3D5418" w14:textId="77777777" w:rsidR="00172FEB" w:rsidRPr="00CE6618" w:rsidRDefault="00172FEB" w:rsidP="00172FEB">
      <w:pPr>
        <w:pStyle w:val="BodyText"/>
        <w:sectPr w:rsidR="00172FEB" w:rsidRPr="00CE6618" w:rsidSect="00AD7634">
          <w:headerReference w:type="default" r:id="rId20"/>
          <w:footerReference w:type="default" r:id="rId21"/>
          <w:pgSz w:w="11906" w:h="16838" w:code="9"/>
          <w:pgMar w:top="1418" w:right="1418" w:bottom="1418" w:left="1418" w:header="454" w:footer="454" w:gutter="0"/>
          <w:pgNumType w:fmt="lowerRoman" w:start="1"/>
          <w:cols w:space="708"/>
          <w:docGrid w:linePitch="360"/>
        </w:sectPr>
      </w:pPr>
    </w:p>
    <w:p w14:paraId="029D5E43" w14:textId="5E009255" w:rsidR="00BA0926" w:rsidRPr="00BA0926" w:rsidRDefault="00BA0926" w:rsidP="00125E04">
      <w:pPr>
        <w:pStyle w:val="Heading1"/>
        <w:rPr>
          <w:rStyle w:val="BodyTextChar"/>
        </w:rPr>
      </w:pPr>
      <w:bookmarkStart w:id="2" w:name="_Toc168572181"/>
      <w:r w:rsidRPr="00BA0926">
        <w:rPr>
          <w:rStyle w:val="BodyTextChar"/>
        </w:rPr>
        <w:lastRenderedPageBreak/>
        <w:t xml:space="preserve">Purpose of this </w:t>
      </w:r>
      <w:r w:rsidR="00125E04">
        <w:rPr>
          <w:rStyle w:val="BodyTextChar"/>
        </w:rPr>
        <w:t>d</w:t>
      </w:r>
      <w:r w:rsidRPr="00BA0926">
        <w:rPr>
          <w:rStyle w:val="BodyTextChar"/>
        </w:rPr>
        <w:t>ocument</w:t>
      </w:r>
      <w:bookmarkEnd w:id="2"/>
    </w:p>
    <w:p w14:paraId="42372D47" w14:textId="011EB668" w:rsidR="002C28B5" w:rsidRPr="002C28B5" w:rsidRDefault="002C28B5" w:rsidP="002C28B5">
      <w:pPr>
        <w:rPr>
          <w:rStyle w:val="BodyTextChar"/>
        </w:rPr>
      </w:pPr>
      <w:r w:rsidRPr="002C28B5">
        <w:rPr>
          <w:rStyle w:val="BodyTextChar"/>
        </w:rPr>
        <w:t xml:space="preserve">The purpose of this document is to facilitate the implementation of sustainability in decision making, specifically in relation to issues or decisions identified as significant for the Project. The process comprises of identifying significant initiatives / issues / decisions and undertaking a scored multi-criteria analysis (MCA) in alignment with the Infrastructure Sustainability (IS) v2.1 credit Ecn-1 </w:t>
      </w:r>
      <w:r w:rsidRPr="002C28B5">
        <w:rPr>
          <w:rStyle w:val="BodyTextitalic"/>
        </w:rPr>
        <w:t>Decision Making</w:t>
      </w:r>
      <w:r w:rsidRPr="002C28B5">
        <w:rPr>
          <w:rStyle w:val="BodyTextChar"/>
        </w:rPr>
        <w:t xml:space="preserve">. An associated spreadsheet / sustainable Decision-Making Tool has been developed comprising of a Decisions Flow Chart and an MCA tool. This </w:t>
      </w:r>
      <w:r w:rsidR="00443FA8">
        <w:rPr>
          <w:rStyle w:val="BodyTextChar"/>
        </w:rPr>
        <w:t>g</w:t>
      </w:r>
      <w:r w:rsidRPr="002C28B5">
        <w:rPr>
          <w:rStyle w:val="BodyTextChar"/>
        </w:rPr>
        <w:t>uidance should be read in conjunction with utilisation of the tool.</w:t>
      </w:r>
    </w:p>
    <w:p w14:paraId="04218DC4" w14:textId="5E6295E3" w:rsidR="00BA0926" w:rsidRDefault="002C28B5" w:rsidP="002C28B5">
      <w:pPr>
        <w:pStyle w:val="ListB1dotonly"/>
        <w:numPr>
          <w:ilvl w:val="0"/>
          <w:numId w:val="0"/>
        </w:numPr>
        <w:rPr>
          <w:rStyle w:val="BodyTextChar"/>
        </w:rPr>
      </w:pPr>
      <w:r w:rsidRPr="002C28B5">
        <w:rPr>
          <w:rStyle w:val="BodyTextChar"/>
        </w:rPr>
        <w:t xml:space="preserve">Projects are required to hold a multidisciplinary </w:t>
      </w:r>
      <w:r w:rsidRPr="002E427A">
        <w:rPr>
          <w:rStyle w:val="BodyTextChar"/>
        </w:rPr>
        <w:t>decision-making governance workshop</w:t>
      </w:r>
      <w:r w:rsidRPr="002C28B5">
        <w:rPr>
          <w:rStyle w:val="BodyTextChar"/>
        </w:rPr>
        <w:t xml:space="preserve"> at the beginning of each phase to establish a decision-making framework that complies with the requirements of the IS v2.1 Ecn-1 credit. Details for the decision-making governance workshop will be outlined in the project’s Functional Specification or SWTC (standard templates are available at the </w:t>
      </w:r>
      <w:hyperlink r:id="rId22" w:history="1">
        <w:r w:rsidRPr="00443FA8">
          <w:rPr>
            <w:rStyle w:val="Hyperlink"/>
            <w:rFonts w:cs="Arial"/>
            <w:i/>
            <w:iCs/>
            <w:szCs w:val="22"/>
          </w:rPr>
          <w:t>Consultants for Engineering Projects</w:t>
        </w:r>
      </w:hyperlink>
      <w:r w:rsidRPr="002C28B5">
        <w:rPr>
          <w:rStyle w:val="BodyTextChar"/>
        </w:rPr>
        <w:t xml:space="preserve"> webpage). Further information on the development and application of a decision-making framework is provided in this document.</w:t>
      </w:r>
    </w:p>
    <w:p w14:paraId="164853A0" w14:textId="70FA338C" w:rsidR="00BA0926" w:rsidRPr="00BA0926" w:rsidRDefault="00BA0926" w:rsidP="00125E04">
      <w:pPr>
        <w:pStyle w:val="Heading1"/>
        <w:rPr>
          <w:rStyle w:val="BodyTextChar"/>
        </w:rPr>
      </w:pPr>
      <w:bookmarkStart w:id="3" w:name="_Toc168572182"/>
      <w:r w:rsidRPr="00BA0926">
        <w:rPr>
          <w:rStyle w:val="BodyTextChar"/>
        </w:rPr>
        <w:t xml:space="preserve">Defining </w:t>
      </w:r>
      <w:r w:rsidR="00125E04">
        <w:rPr>
          <w:rStyle w:val="BodyTextChar"/>
        </w:rPr>
        <w:t>s</w:t>
      </w:r>
      <w:r w:rsidRPr="00BA0926">
        <w:rPr>
          <w:rStyle w:val="BodyTextChar"/>
        </w:rPr>
        <w:t>ignificant</w:t>
      </w:r>
      <w:r w:rsidR="002C28B5">
        <w:rPr>
          <w:rStyle w:val="BodyTextChar"/>
        </w:rPr>
        <w:t xml:space="preserve"> initiatives, decisions and</w:t>
      </w:r>
      <w:r w:rsidRPr="00BA0926">
        <w:rPr>
          <w:rStyle w:val="BodyTextChar"/>
        </w:rPr>
        <w:t xml:space="preserve"> </w:t>
      </w:r>
      <w:r w:rsidR="00125E04">
        <w:rPr>
          <w:rStyle w:val="BodyTextChar"/>
        </w:rPr>
        <w:t>i</w:t>
      </w:r>
      <w:r w:rsidRPr="00BA0926">
        <w:rPr>
          <w:rStyle w:val="BodyTextChar"/>
        </w:rPr>
        <w:t>ssues</w:t>
      </w:r>
      <w:bookmarkEnd w:id="3"/>
    </w:p>
    <w:p w14:paraId="792763FA" w14:textId="5878FC4D" w:rsidR="002C28B5" w:rsidRDefault="002C28B5" w:rsidP="002C28B5">
      <w:pPr>
        <w:pStyle w:val="Heading2"/>
        <w:rPr>
          <w:rStyle w:val="BodyTextChar"/>
        </w:rPr>
      </w:pPr>
      <w:bookmarkStart w:id="4" w:name="_Toc168572183"/>
      <w:r w:rsidRPr="002C28B5">
        <w:rPr>
          <w:rStyle w:val="BodyTextChar"/>
        </w:rPr>
        <w:t>Establishing significance parameters and thresholds</w:t>
      </w:r>
      <w:bookmarkEnd w:id="4"/>
    </w:p>
    <w:p w14:paraId="375C0303" w14:textId="77777777" w:rsidR="002C28B5" w:rsidRPr="002C28B5" w:rsidRDefault="002C28B5" w:rsidP="002C28B5">
      <w:pPr>
        <w:rPr>
          <w:rStyle w:val="BodyTextChar"/>
        </w:rPr>
      </w:pPr>
      <w:r w:rsidRPr="002C28B5">
        <w:rPr>
          <w:rStyle w:val="BodyTextChar"/>
        </w:rPr>
        <w:t>The project must define what constitutes a “significant” initiative, decision or issue in accordance with the requirements under Ecn-1 DL/AB1.1, including establishing parameters and thresholds for at least the following:</w:t>
      </w:r>
    </w:p>
    <w:p w14:paraId="5FEC5B89" w14:textId="6F721D5D" w:rsidR="002C28B5" w:rsidRPr="002C28B5" w:rsidRDefault="002C28B5" w:rsidP="002C28B5">
      <w:pPr>
        <w:pStyle w:val="ListB1dotonly"/>
        <w:rPr>
          <w:rStyle w:val="BodyTextChar"/>
        </w:rPr>
      </w:pPr>
      <w:r w:rsidRPr="002C28B5">
        <w:rPr>
          <w:rStyle w:val="BodyTextChar"/>
        </w:rPr>
        <w:t>Capital or whole of life value (minimum dollar value)</w:t>
      </w:r>
      <w:r>
        <w:rPr>
          <w:rStyle w:val="BodyTextChar"/>
        </w:rPr>
        <w:t>.</w:t>
      </w:r>
    </w:p>
    <w:p w14:paraId="0980819F" w14:textId="77777777" w:rsidR="002C28B5" w:rsidRPr="002C28B5" w:rsidRDefault="002C28B5" w:rsidP="002C28B5">
      <w:pPr>
        <w:pStyle w:val="ListB1dotonly"/>
        <w:numPr>
          <w:ilvl w:val="0"/>
          <w:numId w:val="0"/>
        </w:numPr>
        <w:ind w:left="720"/>
        <w:rPr>
          <w:rStyle w:val="BodyTextChar"/>
        </w:rPr>
      </w:pPr>
      <w:r w:rsidRPr="002C28B5">
        <w:rPr>
          <w:rStyle w:val="BodyTextChar"/>
        </w:rPr>
        <w:t>Note all project initiatives with a capital value greater than $2 million must be identified as significant. Projects may choose to set a significance threshold lower than $2 million.</w:t>
      </w:r>
    </w:p>
    <w:p w14:paraId="21F964FD" w14:textId="07DD7326" w:rsidR="002C28B5" w:rsidRPr="002C28B5" w:rsidRDefault="002C28B5" w:rsidP="002C28B5">
      <w:pPr>
        <w:pStyle w:val="ListB1dotonly"/>
        <w:rPr>
          <w:rStyle w:val="BodyTextChar"/>
        </w:rPr>
      </w:pPr>
      <w:r w:rsidRPr="002C28B5">
        <w:rPr>
          <w:rStyle w:val="BodyTextChar"/>
        </w:rPr>
        <w:t>Environmental and societal impacts (defined risk or impact level)</w:t>
      </w:r>
      <w:r>
        <w:rPr>
          <w:rStyle w:val="BodyTextChar"/>
        </w:rPr>
        <w:t>.</w:t>
      </w:r>
    </w:p>
    <w:p w14:paraId="77A40889" w14:textId="55971DBE" w:rsidR="002C28B5" w:rsidRPr="002C28B5" w:rsidRDefault="002C28B5" w:rsidP="002C28B5">
      <w:pPr>
        <w:pStyle w:val="ListB1dotonly"/>
        <w:rPr>
          <w:rStyle w:val="BodyTextChar"/>
        </w:rPr>
      </w:pPr>
      <w:r w:rsidRPr="002C28B5">
        <w:rPr>
          <w:rStyle w:val="BodyTextChar"/>
        </w:rPr>
        <w:t>Importance to affected stakeholders (defined risk or impact level)</w:t>
      </w:r>
      <w:r>
        <w:rPr>
          <w:rStyle w:val="BodyTextChar"/>
        </w:rPr>
        <w:t>.</w:t>
      </w:r>
    </w:p>
    <w:p w14:paraId="6AE86CAC" w14:textId="77777777" w:rsidR="002C28B5" w:rsidRPr="002C28B5" w:rsidRDefault="002C28B5" w:rsidP="002C28B5">
      <w:pPr>
        <w:rPr>
          <w:rStyle w:val="BodyTextChar"/>
        </w:rPr>
      </w:pPr>
      <w:r w:rsidRPr="002C28B5">
        <w:rPr>
          <w:rStyle w:val="BodyTextChar"/>
        </w:rPr>
        <w:t xml:space="preserve">Example significance parameters and thresholds are included in the </w:t>
      </w:r>
      <w:r w:rsidRPr="00906A63">
        <w:rPr>
          <w:rStyle w:val="BodyTextitalic"/>
        </w:rPr>
        <w:t>IS Technical Manual, v2.1</w:t>
      </w:r>
      <w:r w:rsidRPr="002C28B5">
        <w:rPr>
          <w:rStyle w:val="BodyTextChar"/>
        </w:rPr>
        <w:t>.</w:t>
      </w:r>
    </w:p>
    <w:p w14:paraId="719DFAE4" w14:textId="743FA24E" w:rsidR="002C28B5" w:rsidRPr="002C28B5" w:rsidRDefault="002C28B5" w:rsidP="002C28B5">
      <w:pPr>
        <w:rPr>
          <w:rStyle w:val="BodyTextChar"/>
        </w:rPr>
      </w:pPr>
      <w:r w:rsidRPr="002C28B5">
        <w:rPr>
          <w:rStyle w:val="BodyTextChar"/>
        </w:rPr>
        <w:t>All decisions defined as “significant” in accordance with the project’s significance parameters are to be assessed using MCA (refer</w:t>
      </w:r>
      <w:r w:rsidR="001B24A8">
        <w:rPr>
          <w:rStyle w:val="BodyTextChar"/>
        </w:rPr>
        <w:t xml:space="preserve"> to</w:t>
      </w:r>
      <w:r w:rsidRPr="002C28B5">
        <w:rPr>
          <w:rStyle w:val="BodyTextChar"/>
        </w:rPr>
        <w:t xml:space="preserve"> Section 3).</w:t>
      </w:r>
    </w:p>
    <w:p w14:paraId="54AEF922" w14:textId="77777777" w:rsidR="002C28B5" w:rsidRPr="002C28B5" w:rsidRDefault="002C28B5" w:rsidP="002C28B5">
      <w:pPr>
        <w:rPr>
          <w:rStyle w:val="BodyTextChar"/>
        </w:rPr>
      </w:pPr>
      <w:r w:rsidRPr="002C28B5">
        <w:rPr>
          <w:rStyle w:val="BodyTextChar"/>
        </w:rPr>
        <w:t>Project Managers need to be aware of the potential for overlap or double counting if other MCAs are being completed to determine the preferred option.</w:t>
      </w:r>
    </w:p>
    <w:p w14:paraId="57987460" w14:textId="0DEEDE47" w:rsidR="002C28B5" w:rsidRPr="002E427A" w:rsidRDefault="002C28B5" w:rsidP="002E427A">
      <w:pPr>
        <w:pStyle w:val="Heading2"/>
      </w:pPr>
      <w:bookmarkStart w:id="5" w:name="_Toc168572184"/>
      <w:r w:rsidRPr="002E427A">
        <w:t>Guidance for Planning phase projects</w:t>
      </w:r>
      <w:bookmarkEnd w:id="5"/>
    </w:p>
    <w:p w14:paraId="0EB57DB7" w14:textId="56E87758" w:rsidR="002C28B5" w:rsidRPr="002C28B5" w:rsidRDefault="002C28B5" w:rsidP="002C28B5">
      <w:pPr>
        <w:rPr>
          <w:rStyle w:val="BodyTextChar"/>
        </w:rPr>
      </w:pPr>
      <w:r w:rsidRPr="002C28B5">
        <w:rPr>
          <w:rStyle w:val="BodyTextChar"/>
        </w:rPr>
        <w:t xml:space="preserve">Noting that the </w:t>
      </w:r>
      <w:r w:rsidRPr="002E427A">
        <w:rPr>
          <w:rStyle w:val="BodyTextitalic"/>
        </w:rPr>
        <w:t>IS Technical Manual</w:t>
      </w:r>
      <w:r w:rsidRPr="002C28B5">
        <w:rPr>
          <w:rStyle w:val="BodyTextChar"/>
        </w:rPr>
        <w:t xml:space="preserve"> </w:t>
      </w:r>
      <w:r w:rsidR="002E427A">
        <w:rPr>
          <w:rStyle w:val="BodyTextChar"/>
        </w:rPr>
        <w:t>v2.1</w:t>
      </w:r>
      <w:r w:rsidRPr="002C28B5">
        <w:rPr>
          <w:rStyle w:val="BodyTextChar"/>
        </w:rPr>
        <w:t>requires a maximum cost threshold of $2 million, which may trigger a large number of “significant” decisions for projects going Planning phase (</w:t>
      </w:r>
      <w:r w:rsidR="001B24A8" w:rsidRPr="002C28B5">
        <w:rPr>
          <w:rStyle w:val="BodyTextChar"/>
        </w:rPr>
        <w:t>i.e.,</w:t>
      </w:r>
      <w:r w:rsidRPr="002C28B5">
        <w:rPr>
          <w:rStyle w:val="BodyTextChar"/>
        </w:rPr>
        <w:t xml:space="preserve"> when major value engineering / optioneering exercises on large-scale design decisions may be undertaken), projects that are in a Planning phase may establish an alternative cost threshold at an order of magnitude more appropriate for the project. For example, this may be 5% of the total project contract value. The threshold shall be determined and agreed with relevant project stakeholders as part of the decision-making governance workshop.</w:t>
      </w:r>
    </w:p>
    <w:p w14:paraId="57311BD0" w14:textId="51098041" w:rsidR="00A042E5" w:rsidRPr="001B24A8" w:rsidRDefault="002C28B5" w:rsidP="00906A63">
      <w:pPr>
        <w:keepNext/>
        <w:keepLines/>
        <w:rPr>
          <w:rStyle w:val="BodyTextbold"/>
        </w:rPr>
      </w:pPr>
      <w:r w:rsidRPr="001B24A8">
        <w:rPr>
          <w:rStyle w:val="BodyTextbold"/>
        </w:rPr>
        <w:lastRenderedPageBreak/>
        <w:t>It is emphasised that this guidance only applies to Planning phase projects. Projects in a formal rating phase (</w:t>
      </w:r>
      <w:r w:rsidR="001B24A8" w:rsidRPr="001B24A8">
        <w:rPr>
          <w:rStyle w:val="BodyTextbold"/>
        </w:rPr>
        <w:t>i.e.,</w:t>
      </w:r>
      <w:r w:rsidRPr="001B24A8">
        <w:rPr>
          <w:rStyle w:val="BodyTextbold"/>
        </w:rPr>
        <w:t xml:space="preserve"> in </w:t>
      </w:r>
      <w:r w:rsidR="001B24A8" w:rsidRPr="001B24A8">
        <w:rPr>
          <w:rStyle w:val="BodyTextbold"/>
        </w:rPr>
        <w:t>Transport and Main Roads</w:t>
      </w:r>
      <w:r w:rsidRPr="001B24A8">
        <w:rPr>
          <w:rStyle w:val="BodyTextbold"/>
        </w:rPr>
        <w:t xml:space="preserve"> Design or Construction phase, and pursuing an IS Design and/or As Built rating) must use the $2</w:t>
      </w:r>
      <w:r w:rsidR="001B24A8" w:rsidRPr="001B24A8">
        <w:rPr>
          <w:rStyle w:val="BodyTextbold"/>
        </w:rPr>
        <w:t xml:space="preserve"> </w:t>
      </w:r>
      <w:r w:rsidRPr="001B24A8">
        <w:rPr>
          <w:rStyle w:val="BodyTextbold"/>
        </w:rPr>
        <w:t>m</w:t>
      </w:r>
      <w:r w:rsidR="001B24A8" w:rsidRPr="001B24A8">
        <w:rPr>
          <w:rStyle w:val="BodyTextbold"/>
        </w:rPr>
        <w:t>illion</w:t>
      </w:r>
      <w:r w:rsidRPr="001B24A8">
        <w:rPr>
          <w:rStyle w:val="BodyTextbold"/>
        </w:rPr>
        <w:t xml:space="preserve"> threshold requirement set by the </w:t>
      </w:r>
      <w:r w:rsidRPr="00906A63">
        <w:rPr>
          <w:rStyle w:val="BodyTextitalicsbold"/>
        </w:rPr>
        <w:t>IS Technical Manual v2.1</w:t>
      </w:r>
      <w:r w:rsidRPr="001B24A8">
        <w:rPr>
          <w:rStyle w:val="BodyTextbold"/>
        </w:rPr>
        <w:t>.</w:t>
      </w:r>
    </w:p>
    <w:p w14:paraId="31C59B5C" w14:textId="0169D4C4" w:rsidR="001B24A8" w:rsidRPr="001B24A8" w:rsidRDefault="001B24A8" w:rsidP="001B24A8">
      <w:pPr>
        <w:pStyle w:val="Heading2"/>
        <w:rPr>
          <w:rStyle w:val="BodyTextChar"/>
        </w:rPr>
      </w:pPr>
      <w:bookmarkStart w:id="6" w:name="_Toc168572185"/>
      <w:r w:rsidRPr="001B24A8">
        <w:rPr>
          <w:rStyle w:val="BodyTextChar"/>
        </w:rPr>
        <w:t>Decision Making Tool application</w:t>
      </w:r>
      <w:bookmarkEnd w:id="6"/>
    </w:p>
    <w:p w14:paraId="04E5DA96" w14:textId="6C72119B" w:rsidR="001B24A8" w:rsidRPr="001B24A8" w:rsidRDefault="001B24A8" w:rsidP="001B24A8">
      <w:pPr>
        <w:rPr>
          <w:rStyle w:val="BodyTextChar"/>
        </w:rPr>
      </w:pPr>
      <w:r w:rsidRPr="001B24A8">
        <w:rPr>
          <w:rStyle w:val="BodyTextChar"/>
        </w:rPr>
        <w:t xml:space="preserve">Once significance parameters and thresholds have been determined, update these in the Decision Making Flow Chart in the Decision Making Tool (refer </w:t>
      </w:r>
      <w:r>
        <w:rPr>
          <w:rStyle w:val="BodyTextChar"/>
        </w:rPr>
        <w:t xml:space="preserve">to </w:t>
      </w:r>
      <w:r w:rsidRPr="001B24A8">
        <w:rPr>
          <w:rStyle w:val="BodyTextChar"/>
        </w:rPr>
        <w:t>Figure</w:t>
      </w:r>
      <w:r w:rsidR="00906A63">
        <w:rPr>
          <w:rStyle w:val="BodyTextChar"/>
        </w:rPr>
        <w:t> </w:t>
      </w:r>
      <w:r w:rsidRPr="001B24A8">
        <w:rPr>
          <w:rStyle w:val="BodyTextChar"/>
        </w:rPr>
        <w:t>2.</w:t>
      </w:r>
      <w:r w:rsidR="00E424E9">
        <w:rPr>
          <w:rStyle w:val="BodyTextChar"/>
        </w:rPr>
        <w:t>3</w:t>
      </w:r>
      <w:r w:rsidRPr="001B24A8">
        <w:rPr>
          <w:rStyle w:val="BodyTextChar"/>
        </w:rPr>
        <w:t xml:space="preserve"> for an example). Ensure all initiatives to be assessed for significance are recorded in the project's Decision Register and identify whether an MCA is to be undertaken. </w:t>
      </w:r>
    </w:p>
    <w:p w14:paraId="5E6C440E" w14:textId="6F1A52C1" w:rsidR="002C28B5" w:rsidRDefault="001B24A8" w:rsidP="001B24A8">
      <w:pPr>
        <w:pStyle w:val="TableFigureCaption2Figures"/>
        <w:rPr>
          <w:rStyle w:val="BodyTextChar"/>
        </w:rPr>
      </w:pPr>
      <w:r w:rsidRPr="001B24A8">
        <w:rPr>
          <w:rStyle w:val="BodyTextChar"/>
        </w:rPr>
        <w:t>Figure</w:t>
      </w:r>
      <w:r w:rsidR="00906A63">
        <w:rPr>
          <w:rStyle w:val="BodyTextChar"/>
        </w:rPr>
        <w:t> </w:t>
      </w:r>
      <w:r w:rsidRPr="001B24A8">
        <w:rPr>
          <w:rStyle w:val="BodyTextChar"/>
        </w:rPr>
        <w:t>2.</w:t>
      </w:r>
      <w:r w:rsidR="00E424E9">
        <w:rPr>
          <w:rStyle w:val="BodyTextChar"/>
        </w:rPr>
        <w:t>3</w:t>
      </w:r>
      <w:r w:rsidRPr="001B24A8">
        <w:rPr>
          <w:rStyle w:val="BodyTextChar"/>
        </w:rPr>
        <w:t xml:space="preserve"> – Sustainable Decision-Making Flow Chart</w:t>
      </w:r>
    </w:p>
    <w:p w14:paraId="757D5B3B" w14:textId="645D1CA1" w:rsidR="002C28B5" w:rsidRDefault="001B24A8" w:rsidP="00BA0926">
      <w:pPr>
        <w:rPr>
          <w:rStyle w:val="BodyTextChar"/>
        </w:rPr>
      </w:pPr>
      <w:r>
        <w:rPr>
          <w:noProof/>
        </w:rPr>
        <w:drawing>
          <wp:inline distT="0" distB="0" distL="0" distR="0" wp14:anchorId="63202FD7" wp14:editId="64D845C3">
            <wp:extent cx="5749925" cy="4079240"/>
            <wp:effectExtent l="0" t="0" r="3175" b="0"/>
            <wp:docPr id="1452603483" name="Picture 1" descr="A diagram of a decision mak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03483" name="Picture 1" descr="A diagram of a decision making process&#10;&#10;Description automatically generated"/>
                    <pic:cNvPicPr>
                      <a:picLocks noChangeAspect="1"/>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5749925" cy="4079240"/>
                    </a:xfrm>
                    <a:prstGeom prst="rect">
                      <a:avLst/>
                    </a:prstGeom>
                    <a:ln>
                      <a:noFill/>
                    </a:ln>
                    <a:extLst>
                      <a:ext uri="{53640926-AAD7-44D8-BBD7-CCE9431645EC}">
                        <a14:shadowObscured xmlns:a14="http://schemas.microsoft.com/office/drawing/2010/main"/>
                      </a:ext>
                    </a:extLst>
                  </pic:spPr>
                </pic:pic>
              </a:graphicData>
            </a:graphic>
          </wp:inline>
        </w:drawing>
      </w:r>
    </w:p>
    <w:p w14:paraId="4A3C63F0" w14:textId="5BFAAC96" w:rsidR="001B24A8" w:rsidRPr="001B24A8" w:rsidRDefault="001B24A8" w:rsidP="001B24A8">
      <w:pPr>
        <w:pStyle w:val="Heading1"/>
        <w:rPr>
          <w:rStyle w:val="BodyTextChar"/>
        </w:rPr>
      </w:pPr>
      <w:bookmarkStart w:id="7" w:name="_Toc168572186"/>
      <w:r w:rsidRPr="001B24A8">
        <w:rPr>
          <w:rStyle w:val="BodyTextChar"/>
        </w:rPr>
        <w:t>Defining and applying MCA criteria for significant initiatives, decisions and issues</w:t>
      </w:r>
      <w:bookmarkEnd w:id="7"/>
    </w:p>
    <w:p w14:paraId="09D2BDC4" w14:textId="005BAFE0" w:rsidR="001B24A8" w:rsidRPr="001B24A8" w:rsidRDefault="001B24A8" w:rsidP="001B24A8">
      <w:pPr>
        <w:pStyle w:val="Heading2"/>
        <w:rPr>
          <w:rStyle w:val="BodyTextChar"/>
        </w:rPr>
      </w:pPr>
      <w:bookmarkStart w:id="8" w:name="_Toc168572187"/>
      <w:r w:rsidRPr="001B24A8">
        <w:rPr>
          <w:rStyle w:val="BodyTextChar"/>
        </w:rPr>
        <w:t>MCA criteria requirements</w:t>
      </w:r>
      <w:bookmarkEnd w:id="8"/>
    </w:p>
    <w:p w14:paraId="74C6B7EE" w14:textId="77777777" w:rsidR="001B24A8" w:rsidRPr="001B24A8" w:rsidRDefault="001B24A8" w:rsidP="001B24A8">
      <w:pPr>
        <w:rPr>
          <w:rStyle w:val="BodyTextChar"/>
        </w:rPr>
      </w:pPr>
      <w:r w:rsidRPr="001B24A8">
        <w:rPr>
          <w:rStyle w:val="BodyTextChar"/>
        </w:rPr>
        <w:t>In order to comply with Ecn-1, the MCA criteria must include at least one criterion for each of the following:</w:t>
      </w:r>
    </w:p>
    <w:p w14:paraId="068B1A5A" w14:textId="5CDCE2DD" w:rsidR="001B24A8" w:rsidRPr="001B24A8" w:rsidRDefault="001B24A8" w:rsidP="00906A63">
      <w:pPr>
        <w:pStyle w:val="ListB1dotonly"/>
        <w:numPr>
          <w:ilvl w:val="0"/>
          <w:numId w:val="28"/>
        </w:numPr>
        <w:rPr>
          <w:rStyle w:val="BodyTextChar"/>
        </w:rPr>
      </w:pPr>
      <w:r w:rsidRPr="001B24A8">
        <w:rPr>
          <w:rStyle w:val="BodyTextChar"/>
        </w:rPr>
        <w:t>outward impacts from the project to the environment</w:t>
      </w:r>
    </w:p>
    <w:p w14:paraId="217EAFF6" w14:textId="217A2534" w:rsidR="001B24A8" w:rsidRPr="001B24A8" w:rsidRDefault="001B24A8" w:rsidP="00906A63">
      <w:pPr>
        <w:pStyle w:val="ListB1dotonly"/>
        <w:numPr>
          <w:ilvl w:val="0"/>
          <w:numId w:val="28"/>
        </w:numPr>
        <w:rPr>
          <w:rStyle w:val="BodyTextChar"/>
        </w:rPr>
      </w:pPr>
      <w:r w:rsidRPr="001B24A8">
        <w:rPr>
          <w:rStyle w:val="BodyTextChar"/>
        </w:rPr>
        <w:t>outward impacts from the project to society (</w:t>
      </w:r>
      <w:r w:rsidR="00906A63" w:rsidRPr="001B24A8">
        <w:rPr>
          <w:rStyle w:val="BodyTextChar"/>
        </w:rPr>
        <w:t>i.e.,</w:t>
      </w:r>
      <w:r w:rsidRPr="001B24A8">
        <w:rPr>
          <w:rStyle w:val="BodyTextChar"/>
        </w:rPr>
        <w:t xml:space="preserve"> local community stakeholders)</w:t>
      </w:r>
    </w:p>
    <w:p w14:paraId="14312BDD" w14:textId="776AB6E6" w:rsidR="001B24A8" w:rsidRPr="001B24A8" w:rsidRDefault="001B24A8" w:rsidP="00906A63">
      <w:pPr>
        <w:pStyle w:val="ListB1dotonly"/>
        <w:numPr>
          <w:ilvl w:val="0"/>
          <w:numId w:val="28"/>
        </w:numPr>
        <w:rPr>
          <w:rStyle w:val="BodyTextChar"/>
        </w:rPr>
      </w:pPr>
      <w:r w:rsidRPr="001B24A8">
        <w:rPr>
          <w:rStyle w:val="BodyTextChar"/>
        </w:rPr>
        <w:t>outward impacts from the project to the economy (</w:t>
      </w:r>
      <w:r w:rsidR="00906A63" w:rsidRPr="001B24A8">
        <w:rPr>
          <w:rStyle w:val="BodyTextChar"/>
        </w:rPr>
        <w:t>i.e.,</w:t>
      </w:r>
      <w:r w:rsidRPr="001B24A8">
        <w:rPr>
          <w:rStyle w:val="BodyTextChar"/>
        </w:rPr>
        <w:t xml:space="preserve"> local businesses and supply chain – not to be confused with project/asset financial impacts)</w:t>
      </w:r>
      <w:r w:rsidR="00906A63">
        <w:rPr>
          <w:rStyle w:val="BodyTextChar"/>
        </w:rPr>
        <w:t>, and</w:t>
      </w:r>
    </w:p>
    <w:p w14:paraId="3D6C794E" w14:textId="0DC9E33C" w:rsidR="001B24A8" w:rsidRPr="001B24A8" w:rsidRDefault="001B24A8" w:rsidP="00906A63">
      <w:pPr>
        <w:pStyle w:val="ListB1dotonly"/>
        <w:numPr>
          <w:ilvl w:val="0"/>
          <w:numId w:val="28"/>
        </w:numPr>
        <w:rPr>
          <w:rStyle w:val="BodyTextChar"/>
        </w:rPr>
      </w:pPr>
      <w:r w:rsidRPr="001B24A8">
        <w:rPr>
          <w:rStyle w:val="BodyTextChar"/>
        </w:rPr>
        <w:t>monetised whole-of-life cost impact (</w:t>
      </w:r>
      <w:r w:rsidR="00906A63" w:rsidRPr="001B24A8">
        <w:rPr>
          <w:rStyle w:val="BodyTextChar"/>
        </w:rPr>
        <w:t>i.e.,</w:t>
      </w:r>
      <w:r w:rsidRPr="001B24A8">
        <w:rPr>
          <w:rStyle w:val="BodyTextChar"/>
        </w:rPr>
        <w:t xml:space="preserve"> project</w:t>
      </w:r>
      <w:r w:rsidR="00906A63">
        <w:rPr>
          <w:rStyle w:val="BodyTextChar"/>
        </w:rPr>
        <w:t xml:space="preserve"> </w:t>
      </w:r>
      <w:r w:rsidRPr="001B24A8">
        <w:rPr>
          <w:rStyle w:val="BodyTextChar"/>
        </w:rPr>
        <w:t>/</w:t>
      </w:r>
      <w:r w:rsidR="00906A63">
        <w:rPr>
          <w:rStyle w:val="BodyTextChar"/>
        </w:rPr>
        <w:t xml:space="preserve"> </w:t>
      </w:r>
      <w:r w:rsidRPr="001B24A8">
        <w:rPr>
          <w:rStyle w:val="BodyTextChar"/>
        </w:rPr>
        <w:t>asset financial impacts).</w:t>
      </w:r>
    </w:p>
    <w:p w14:paraId="05766BC6" w14:textId="3D99633B" w:rsidR="001B24A8" w:rsidRPr="001B24A8" w:rsidRDefault="001B24A8" w:rsidP="001B24A8">
      <w:pPr>
        <w:pStyle w:val="Heading2"/>
        <w:rPr>
          <w:rStyle w:val="BodyTextChar"/>
        </w:rPr>
      </w:pPr>
      <w:bookmarkStart w:id="9" w:name="_Toc168572188"/>
      <w:r w:rsidRPr="001B24A8">
        <w:rPr>
          <w:rStyle w:val="BodyTextChar"/>
        </w:rPr>
        <w:lastRenderedPageBreak/>
        <w:t>Decision Making Tool application</w:t>
      </w:r>
      <w:bookmarkEnd w:id="9"/>
    </w:p>
    <w:p w14:paraId="2B113484" w14:textId="5FE5A23C" w:rsidR="001B24A8" w:rsidRPr="001B24A8" w:rsidRDefault="001B24A8" w:rsidP="001B24A8">
      <w:pPr>
        <w:rPr>
          <w:rStyle w:val="BodyTextChar"/>
        </w:rPr>
      </w:pPr>
      <w:r w:rsidRPr="001B24A8">
        <w:rPr>
          <w:rStyle w:val="BodyTextChar"/>
        </w:rPr>
        <w:t>Where an initiative, decision or issue has been defined as “significant” and thus requires an MCA, define the options to be assessed using the Decision Making Tool (example provided in Figure</w:t>
      </w:r>
      <w:r w:rsidR="00906A63">
        <w:rPr>
          <w:rStyle w:val="BodyTextChar"/>
        </w:rPr>
        <w:t> </w:t>
      </w:r>
      <w:r w:rsidR="002E427A">
        <w:rPr>
          <w:rStyle w:val="BodyTextChar"/>
        </w:rPr>
        <w:t>2</w:t>
      </w:r>
      <w:r w:rsidRPr="001B24A8">
        <w:rPr>
          <w:rStyle w:val="BodyTextChar"/>
        </w:rPr>
        <w:t>.</w:t>
      </w:r>
      <w:r w:rsidR="00E424E9">
        <w:rPr>
          <w:rStyle w:val="BodyTextChar"/>
        </w:rPr>
        <w:t>3</w:t>
      </w:r>
      <w:r w:rsidRPr="001B24A8">
        <w:rPr>
          <w:rStyle w:val="BodyTextChar"/>
        </w:rPr>
        <w:t xml:space="preserve">). </w:t>
      </w:r>
    </w:p>
    <w:p w14:paraId="37743F03" w14:textId="66F43BA0" w:rsidR="001B24A8" w:rsidRDefault="001B24A8" w:rsidP="001B24A8">
      <w:pPr>
        <w:rPr>
          <w:rStyle w:val="BodyTextChar"/>
        </w:rPr>
      </w:pPr>
      <w:r w:rsidRPr="001B24A8">
        <w:rPr>
          <w:rStyle w:val="BodyTextChar"/>
        </w:rPr>
        <w:t>The MCA tool includes six aspects including customisable sub criteria and the relevant weightings have been determined as outlined in the following Table</w:t>
      </w:r>
      <w:r w:rsidR="00906A63">
        <w:rPr>
          <w:rStyle w:val="BodyTextChar"/>
        </w:rPr>
        <w:t> </w:t>
      </w:r>
      <w:r w:rsidRPr="001B24A8">
        <w:rPr>
          <w:rStyle w:val="BodyTextChar"/>
        </w:rPr>
        <w:t>3.2(a).</w:t>
      </w:r>
    </w:p>
    <w:p w14:paraId="4460A2CA" w14:textId="1CB67A17" w:rsidR="001B24A8" w:rsidRDefault="001B24A8" w:rsidP="001B24A8">
      <w:pPr>
        <w:pStyle w:val="TableFigureCaption1Tables"/>
        <w:rPr>
          <w:rStyle w:val="BodyTextChar"/>
        </w:rPr>
      </w:pPr>
      <w:r w:rsidRPr="001B24A8">
        <w:rPr>
          <w:rStyle w:val="BodyTextChar"/>
        </w:rPr>
        <w:t>Table</w:t>
      </w:r>
      <w:r w:rsidR="00906A63">
        <w:rPr>
          <w:rStyle w:val="BodyTextChar"/>
        </w:rPr>
        <w:t> </w:t>
      </w:r>
      <w:r w:rsidRPr="001B24A8">
        <w:rPr>
          <w:rStyle w:val="BodyTextChar"/>
        </w:rPr>
        <w:t>3.2(a) – MCA tool aspects and weightings</w:t>
      </w:r>
    </w:p>
    <w:tbl>
      <w:tblPr>
        <w:tblStyle w:val="TableGrid"/>
        <w:tblW w:w="0" w:type="auto"/>
        <w:tblLook w:val="04A0" w:firstRow="1" w:lastRow="0" w:firstColumn="1" w:lastColumn="0" w:noHBand="0" w:noVBand="1"/>
      </w:tblPr>
      <w:tblGrid>
        <w:gridCol w:w="4530"/>
        <w:gridCol w:w="4530"/>
      </w:tblGrid>
      <w:tr w:rsidR="001B24A8" w:rsidRPr="001B24A8" w14:paraId="732017EC" w14:textId="77777777" w:rsidTr="001B24A8">
        <w:tc>
          <w:tcPr>
            <w:tcW w:w="4530" w:type="dxa"/>
          </w:tcPr>
          <w:p w14:paraId="1F52F7C8" w14:textId="77777777" w:rsidR="001B24A8" w:rsidRPr="001B24A8" w:rsidRDefault="001B24A8" w:rsidP="001B24A8">
            <w:pPr>
              <w:pStyle w:val="TableHeading"/>
              <w:rPr>
                <w:rStyle w:val="BodyTextChar"/>
              </w:rPr>
            </w:pPr>
            <w:r w:rsidRPr="001B24A8">
              <w:rPr>
                <w:rStyle w:val="BodyTextChar"/>
              </w:rPr>
              <w:t>Aspect</w:t>
            </w:r>
          </w:p>
        </w:tc>
        <w:tc>
          <w:tcPr>
            <w:tcW w:w="4530" w:type="dxa"/>
          </w:tcPr>
          <w:p w14:paraId="4CF877FE" w14:textId="77777777" w:rsidR="001B24A8" w:rsidRPr="001B24A8" w:rsidRDefault="001B24A8" w:rsidP="001B24A8">
            <w:pPr>
              <w:pStyle w:val="TableHeading"/>
              <w:rPr>
                <w:rStyle w:val="BodyTextChar"/>
              </w:rPr>
            </w:pPr>
            <w:r w:rsidRPr="001B24A8">
              <w:rPr>
                <w:rStyle w:val="BodyTextChar"/>
              </w:rPr>
              <w:t>Weighting</w:t>
            </w:r>
          </w:p>
        </w:tc>
      </w:tr>
      <w:tr w:rsidR="001B24A8" w:rsidRPr="001B24A8" w14:paraId="61423938" w14:textId="77777777" w:rsidTr="001B24A8">
        <w:tc>
          <w:tcPr>
            <w:tcW w:w="4530" w:type="dxa"/>
          </w:tcPr>
          <w:p w14:paraId="3142B1F8" w14:textId="77777777" w:rsidR="001B24A8" w:rsidRPr="001B24A8" w:rsidRDefault="001B24A8" w:rsidP="001B24A8">
            <w:pPr>
              <w:pStyle w:val="TableBodyText"/>
              <w:rPr>
                <w:rStyle w:val="BodyTextChar"/>
              </w:rPr>
            </w:pPr>
            <w:r w:rsidRPr="001B24A8">
              <w:rPr>
                <w:rStyle w:val="BodyTextChar"/>
              </w:rPr>
              <w:t>Environmental</w:t>
            </w:r>
          </w:p>
        </w:tc>
        <w:tc>
          <w:tcPr>
            <w:tcW w:w="4530" w:type="dxa"/>
          </w:tcPr>
          <w:p w14:paraId="66B24D09" w14:textId="77777777" w:rsidR="001B24A8" w:rsidRPr="001B24A8" w:rsidRDefault="001B24A8" w:rsidP="001B24A8">
            <w:pPr>
              <w:pStyle w:val="TableBodyText"/>
              <w:jc w:val="center"/>
              <w:rPr>
                <w:rStyle w:val="BodyTextChar"/>
              </w:rPr>
            </w:pPr>
            <w:r w:rsidRPr="001B24A8">
              <w:rPr>
                <w:rStyle w:val="BodyTextChar"/>
              </w:rPr>
              <w:t>15%</w:t>
            </w:r>
          </w:p>
        </w:tc>
      </w:tr>
      <w:tr w:rsidR="001B24A8" w:rsidRPr="001B24A8" w14:paraId="5B2CCBA1" w14:textId="77777777" w:rsidTr="001B24A8">
        <w:tc>
          <w:tcPr>
            <w:tcW w:w="4530" w:type="dxa"/>
          </w:tcPr>
          <w:p w14:paraId="449A0936" w14:textId="77777777" w:rsidR="001B24A8" w:rsidRPr="001B24A8" w:rsidRDefault="001B24A8" w:rsidP="001B24A8">
            <w:pPr>
              <w:pStyle w:val="TableBodyText"/>
              <w:rPr>
                <w:rStyle w:val="BodyTextChar"/>
              </w:rPr>
            </w:pPr>
            <w:r w:rsidRPr="001B24A8">
              <w:rPr>
                <w:rStyle w:val="BodyTextChar"/>
              </w:rPr>
              <w:t>Social</w:t>
            </w:r>
          </w:p>
        </w:tc>
        <w:tc>
          <w:tcPr>
            <w:tcW w:w="4530" w:type="dxa"/>
          </w:tcPr>
          <w:p w14:paraId="64603DB9" w14:textId="77777777" w:rsidR="001B24A8" w:rsidRPr="001B24A8" w:rsidRDefault="001B24A8" w:rsidP="001B24A8">
            <w:pPr>
              <w:pStyle w:val="TableBodyText"/>
              <w:jc w:val="center"/>
              <w:rPr>
                <w:rStyle w:val="BodyTextChar"/>
              </w:rPr>
            </w:pPr>
            <w:r w:rsidRPr="001B24A8">
              <w:rPr>
                <w:rStyle w:val="BodyTextChar"/>
              </w:rPr>
              <w:t>15%</w:t>
            </w:r>
          </w:p>
        </w:tc>
      </w:tr>
      <w:tr w:rsidR="001B24A8" w:rsidRPr="001B24A8" w14:paraId="4CDB7202" w14:textId="77777777" w:rsidTr="001B24A8">
        <w:tc>
          <w:tcPr>
            <w:tcW w:w="4530" w:type="dxa"/>
          </w:tcPr>
          <w:p w14:paraId="608CCF21" w14:textId="77777777" w:rsidR="001B24A8" w:rsidRPr="001B24A8" w:rsidRDefault="001B24A8" w:rsidP="001B24A8">
            <w:pPr>
              <w:pStyle w:val="TableBodyText"/>
              <w:rPr>
                <w:rStyle w:val="BodyTextChar"/>
              </w:rPr>
            </w:pPr>
            <w:r w:rsidRPr="001B24A8">
              <w:rPr>
                <w:rStyle w:val="BodyTextChar"/>
              </w:rPr>
              <w:t>Economic</w:t>
            </w:r>
          </w:p>
        </w:tc>
        <w:tc>
          <w:tcPr>
            <w:tcW w:w="4530" w:type="dxa"/>
          </w:tcPr>
          <w:p w14:paraId="14F3178E" w14:textId="77777777" w:rsidR="001B24A8" w:rsidRPr="001B24A8" w:rsidRDefault="001B24A8" w:rsidP="001B24A8">
            <w:pPr>
              <w:pStyle w:val="TableBodyText"/>
              <w:jc w:val="center"/>
              <w:rPr>
                <w:rStyle w:val="BodyTextChar"/>
              </w:rPr>
            </w:pPr>
            <w:r w:rsidRPr="001B24A8">
              <w:rPr>
                <w:rStyle w:val="BodyTextChar"/>
              </w:rPr>
              <w:t>15%</w:t>
            </w:r>
          </w:p>
        </w:tc>
      </w:tr>
      <w:tr w:rsidR="001B24A8" w:rsidRPr="001B24A8" w14:paraId="2F13458C" w14:textId="77777777" w:rsidTr="001B24A8">
        <w:tc>
          <w:tcPr>
            <w:tcW w:w="4530" w:type="dxa"/>
          </w:tcPr>
          <w:p w14:paraId="19B1A540" w14:textId="77777777" w:rsidR="001B24A8" w:rsidRPr="001B24A8" w:rsidRDefault="001B24A8" w:rsidP="001B24A8">
            <w:pPr>
              <w:pStyle w:val="TableBodyText"/>
              <w:rPr>
                <w:rStyle w:val="BodyTextChar"/>
              </w:rPr>
            </w:pPr>
            <w:r w:rsidRPr="001B24A8">
              <w:rPr>
                <w:rStyle w:val="BodyTextChar"/>
              </w:rPr>
              <w:t>Financial</w:t>
            </w:r>
          </w:p>
        </w:tc>
        <w:tc>
          <w:tcPr>
            <w:tcW w:w="4530" w:type="dxa"/>
          </w:tcPr>
          <w:p w14:paraId="4F1D38A7" w14:textId="77777777" w:rsidR="001B24A8" w:rsidRPr="001B24A8" w:rsidRDefault="001B24A8" w:rsidP="001B24A8">
            <w:pPr>
              <w:pStyle w:val="TableBodyText"/>
              <w:jc w:val="center"/>
              <w:rPr>
                <w:rStyle w:val="BodyTextChar"/>
              </w:rPr>
            </w:pPr>
            <w:r w:rsidRPr="001B24A8">
              <w:rPr>
                <w:rStyle w:val="BodyTextChar"/>
              </w:rPr>
              <w:t>20%</w:t>
            </w:r>
          </w:p>
        </w:tc>
      </w:tr>
      <w:tr w:rsidR="001B24A8" w:rsidRPr="001B24A8" w14:paraId="2EB7696C" w14:textId="77777777" w:rsidTr="001B24A8">
        <w:tc>
          <w:tcPr>
            <w:tcW w:w="4530" w:type="dxa"/>
          </w:tcPr>
          <w:p w14:paraId="115FCE66" w14:textId="77777777" w:rsidR="001B24A8" w:rsidRPr="001B24A8" w:rsidRDefault="001B24A8" w:rsidP="001B24A8">
            <w:pPr>
              <w:pStyle w:val="TableBodyText"/>
              <w:rPr>
                <w:rStyle w:val="BodyTextChar"/>
              </w:rPr>
            </w:pPr>
            <w:r w:rsidRPr="001B24A8">
              <w:rPr>
                <w:rStyle w:val="BodyTextChar"/>
              </w:rPr>
              <w:t>Constructability</w:t>
            </w:r>
          </w:p>
        </w:tc>
        <w:tc>
          <w:tcPr>
            <w:tcW w:w="4530" w:type="dxa"/>
          </w:tcPr>
          <w:p w14:paraId="237DDDEC" w14:textId="77777777" w:rsidR="001B24A8" w:rsidRPr="001B24A8" w:rsidRDefault="001B24A8" w:rsidP="001B24A8">
            <w:pPr>
              <w:pStyle w:val="TableBodyText"/>
              <w:jc w:val="center"/>
              <w:rPr>
                <w:rStyle w:val="BodyTextChar"/>
              </w:rPr>
            </w:pPr>
            <w:r w:rsidRPr="001B24A8">
              <w:rPr>
                <w:rStyle w:val="BodyTextChar"/>
              </w:rPr>
              <w:t>20%</w:t>
            </w:r>
          </w:p>
        </w:tc>
      </w:tr>
      <w:tr w:rsidR="001B24A8" w:rsidRPr="001B24A8" w14:paraId="7E41C7D0" w14:textId="77777777" w:rsidTr="001B24A8">
        <w:tc>
          <w:tcPr>
            <w:tcW w:w="4530" w:type="dxa"/>
          </w:tcPr>
          <w:p w14:paraId="4D542109" w14:textId="77777777" w:rsidR="001B24A8" w:rsidRPr="001B24A8" w:rsidRDefault="001B24A8" w:rsidP="001B24A8">
            <w:pPr>
              <w:pStyle w:val="TableBodyText"/>
              <w:rPr>
                <w:rStyle w:val="BodyTextChar"/>
              </w:rPr>
            </w:pPr>
            <w:r w:rsidRPr="001B24A8">
              <w:rPr>
                <w:rStyle w:val="BodyTextChar"/>
              </w:rPr>
              <w:t>Functionality</w:t>
            </w:r>
          </w:p>
        </w:tc>
        <w:tc>
          <w:tcPr>
            <w:tcW w:w="4530" w:type="dxa"/>
          </w:tcPr>
          <w:p w14:paraId="2F843714" w14:textId="77777777" w:rsidR="001B24A8" w:rsidRPr="001B24A8" w:rsidRDefault="001B24A8" w:rsidP="001B24A8">
            <w:pPr>
              <w:pStyle w:val="TableBodyText"/>
              <w:jc w:val="center"/>
              <w:rPr>
                <w:rStyle w:val="BodyTextChar"/>
              </w:rPr>
            </w:pPr>
            <w:r w:rsidRPr="001B24A8">
              <w:rPr>
                <w:rStyle w:val="BodyTextChar"/>
              </w:rPr>
              <w:t>15%</w:t>
            </w:r>
          </w:p>
        </w:tc>
      </w:tr>
    </w:tbl>
    <w:p w14:paraId="49007502" w14:textId="77777777" w:rsidR="001B24A8" w:rsidRPr="001B24A8" w:rsidRDefault="001B24A8" w:rsidP="001B24A8">
      <w:pPr>
        <w:spacing w:before="240"/>
        <w:rPr>
          <w:rStyle w:val="BodyTextChar"/>
        </w:rPr>
      </w:pPr>
      <w:r w:rsidRPr="001B24A8">
        <w:rPr>
          <w:rStyle w:val="BodyTextChar"/>
        </w:rPr>
        <w:t>The intention is that the aspect weightings remain the same, however project teams may customise the sub criteria and adjust the criteria weightings as required (ensuring the total weighting for each aspect totals 100%). Should the project team require the aspect weightings to change due to inapplicability or other factors, the revised weightings are to be agreed by the Project Senior Management team, ensuring that the weightings of environmental, social and economic criteria total at least 20%.</w:t>
      </w:r>
    </w:p>
    <w:p w14:paraId="3195B7C0" w14:textId="0C608016" w:rsidR="001B24A8" w:rsidRPr="001B24A8" w:rsidRDefault="001B24A8" w:rsidP="001B24A8">
      <w:pPr>
        <w:rPr>
          <w:rStyle w:val="BodyTextChar"/>
        </w:rPr>
      </w:pPr>
      <w:r w:rsidRPr="001B24A8">
        <w:rPr>
          <w:rStyle w:val="BodyTextChar"/>
        </w:rPr>
        <w:t>Project teams rate the decisions based on a score from 1 to 5 based on the criteria in Table</w:t>
      </w:r>
      <w:r w:rsidR="00906A63">
        <w:rPr>
          <w:rStyle w:val="BodyTextChar"/>
        </w:rPr>
        <w:t> </w:t>
      </w:r>
      <w:r w:rsidRPr="001B24A8">
        <w:rPr>
          <w:rStyle w:val="BodyTextChar"/>
        </w:rPr>
        <w:t>3.2(b) below.</w:t>
      </w:r>
    </w:p>
    <w:p w14:paraId="57B71B6A" w14:textId="48C770D7" w:rsidR="001B24A8" w:rsidRPr="001B24A8" w:rsidRDefault="001B24A8" w:rsidP="001B24A8">
      <w:pPr>
        <w:pStyle w:val="TableFigureCaption1Tables"/>
        <w:rPr>
          <w:rStyle w:val="BodyTextChar"/>
        </w:rPr>
      </w:pPr>
      <w:r w:rsidRPr="001B24A8">
        <w:rPr>
          <w:rStyle w:val="BodyTextChar"/>
        </w:rPr>
        <w:t>Table</w:t>
      </w:r>
      <w:r w:rsidR="00906A63">
        <w:rPr>
          <w:rStyle w:val="BodyTextChar"/>
        </w:rPr>
        <w:t> </w:t>
      </w:r>
      <w:r w:rsidRPr="001B24A8">
        <w:rPr>
          <w:rStyle w:val="BodyTextChar"/>
        </w:rPr>
        <w:t>3.2(b) – Decision criteria ratings</w:t>
      </w:r>
    </w:p>
    <w:tbl>
      <w:tblPr>
        <w:tblStyle w:val="TableGrid"/>
        <w:tblW w:w="0" w:type="auto"/>
        <w:tblLook w:val="04A0" w:firstRow="1" w:lastRow="0" w:firstColumn="1" w:lastColumn="0" w:noHBand="0" w:noVBand="1"/>
      </w:tblPr>
      <w:tblGrid>
        <w:gridCol w:w="4530"/>
        <w:gridCol w:w="4530"/>
      </w:tblGrid>
      <w:tr w:rsidR="001B24A8" w:rsidRPr="001B24A8" w14:paraId="087F9CC2" w14:textId="77777777" w:rsidTr="001B24A8">
        <w:tc>
          <w:tcPr>
            <w:tcW w:w="4530" w:type="dxa"/>
          </w:tcPr>
          <w:p w14:paraId="4973C27D" w14:textId="77777777" w:rsidR="001B24A8" w:rsidRPr="001B24A8" w:rsidRDefault="001B24A8" w:rsidP="001B24A8">
            <w:pPr>
              <w:pStyle w:val="TableHeading"/>
              <w:rPr>
                <w:rStyle w:val="BodyTextChar"/>
              </w:rPr>
            </w:pPr>
            <w:r w:rsidRPr="001B24A8">
              <w:rPr>
                <w:rStyle w:val="BodyTextChar"/>
              </w:rPr>
              <w:t>Rating</w:t>
            </w:r>
          </w:p>
        </w:tc>
        <w:tc>
          <w:tcPr>
            <w:tcW w:w="4530" w:type="dxa"/>
          </w:tcPr>
          <w:p w14:paraId="78F9214E" w14:textId="77777777" w:rsidR="001B24A8" w:rsidRPr="001B24A8" w:rsidRDefault="001B24A8" w:rsidP="001B24A8">
            <w:pPr>
              <w:pStyle w:val="TableHeading"/>
              <w:rPr>
                <w:rStyle w:val="BodyTextChar"/>
              </w:rPr>
            </w:pPr>
            <w:r w:rsidRPr="001B24A8">
              <w:rPr>
                <w:rStyle w:val="BodyTextChar"/>
              </w:rPr>
              <w:t>Decision criteria</w:t>
            </w:r>
          </w:p>
        </w:tc>
      </w:tr>
      <w:tr w:rsidR="001B24A8" w:rsidRPr="001B24A8" w14:paraId="4C7DABC4" w14:textId="77777777" w:rsidTr="001B24A8">
        <w:tc>
          <w:tcPr>
            <w:tcW w:w="4530" w:type="dxa"/>
          </w:tcPr>
          <w:p w14:paraId="22AD75DA" w14:textId="77777777" w:rsidR="001B24A8" w:rsidRPr="001B24A8" w:rsidRDefault="001B24A8" w:rsidP="001B24A8">
            <w:pPr>
              <w:pStyle w:val="TableBodyText"/>
              <w:jc w:val="center"/>
              <w:rPr>
                <w:rStyle w:val="BodyTextChar"/>
                <w:szCs w:val="20"/>
              </w:rPr>
            </w:pPr>
            <w:r w:rsidRPr="001B24A8">
              <w:rPr>
                <w:rStyle w:val="BodyTextChar"/>
                <w:szCs w:val="20"/>
              </w:rPr>
              <w:t>1</w:t>
            </w:r>
          </w:p>
        </w:tc>
        <w:tc>
          <w:tcPr>
            <w:tcW w:w="4530" w:type="dxa"/>
          </w:tcPr>
          <w:p w14:paraId="738EE896" w14:textId="77777777" w:rsidR="001B24A8" w:rsidRPr="001B24A8" w:rsidRDefault="001B24A8" w:rsidP="001B24A8">
            <w:pPr>
              <w:pStyle w:val="TableBodyText"/>
              <w:rPr>
                <w:rStyle w:val="BodyTextChar"/>
                <w:szCs w:val="20"/>
              </w:rPr>
            </w:pPr>
            <w:r w:rsidRPr="001B24A8">
              <w:rPr>
                <w:rStyle w:val="BodyTextChar"/>
                <w:szCs w:val="20"/>
              </w:rPr>
              <w:t>Unacceptable, requires mitigation activity</w:t>
            </w:r>
          </w:p>
        </w:tc>
      </w:tr>
      <w:tr w:rsidR="001B24A8" w:rsidRPr="001B24A8" w14:paraId="6281A4EB" w14:textId="77777777" w:rsidTr="001B24A8">
        <w:tc>
          <w:tcPr>
            <w:tcW w:w="4530" w:type="dxa"/>
          </w:tcPr>
          <w:p w14:paraId="0C335FFD" w14:textId="77777777" w:rsidR="001B24A8" w:rsidRPr="001B24A8" w:rsidRDefault="001B24A8" w:rsidP="001B24A8">
            <w:pPr>
              <w:pStyle w:val="TableBodyText"/>
              <w:jc w:val="center"/>
              <w:rPr>
                <w:rStyle w:val="BodyTextChar"/>
                <w:szCs w:val="20"/>
              </w:rPr>
            </w:pPr>
            <w:r w:rsidRPr="001B24A8">
              <w:rPr>
                <w:rStyle w:val="BodyTextChar"/>
                <w:szCs w:val="20"/>
              </w:rPr>
              <w:t>2</w:t>
            </w:r>
          </w:p>
        </w:tc>
        <w:tc>
          <w:tcPr>
            <w:tcW w:w="4530" w:type="dxa"/>
          </w:tcPr>
          <w:p w14:paraId="29F621F6" w14:textId="77777777" w:rsidR="001B24A8" w:rsidRPr="001B24A8" w:rsidRDefault="001B24A8" w:rsidP="001B24A8">
            <w:pPr>
              <w:pStyle w:val="TableBodyText"/>
              <w:rPr>
                <w:rStyle w:val="BodyTextChar"/>
                <w:szCs w:val="20"/>
              </w:rPr>
            </w:pPr>
            <w:r w:rsidRPr="001B24A8">
              <w:rPr>
                <w:rStyle w:val="BodyTextChar"/>
                <w:szCs w:val="20"/>
              </w:rPr>
              <w:t>Below average benefits</w:t>
            </w:r>
          </w:p>
        </w:tc>
      </w:tr>
      <w:tr w:rsidR="001B24A8" w:rsidRPr="001B24A8" w14:paraId="7A5E3F45" w14:textId="77777777" w:rsidTr="001B24A8">
        <w:tc>
          <w:tcPr>
            <w:tcW w:w="4530" w:type="dxa"/>
          </w:tcPr>
          <w:p w14:paraId="22A0C14F" w14:textId="77777777" w:rsidR="001B24A8" w:rsidRPr="001B24A8" w:rsidRDefault="001B24A8" w:rsidP="001B24A8">
            <w:pPr>
              <w:pStyle w:val="TableBodyText"/>
              <w:jc w:val="center"/>
              <w:rPr>
                <w:rStyle w:val="BodyTextChar"/>
                <w:szCs w:val="20"/>
              </w:rPr>
            </w:pPr>
            <w:r w:rsidRPr="001B24A8">
              <w:rPr>
                <w:rStyle w:val="BodyTextChar"/>
                <w:szCs w:val="20"/>
              </w:rPr>
              <w:t>3</w:t>
            </w:r>
          </w:p>
        </w:tc>
        <w:tc>
          <w:tcPr>
            <w:tcW w:w="4530" w:type="dxa"/>
          </w:tcPr>
          <w:p w14:paraId="0C24C9CC" w14:textId="77777777" w:rsidR="001B24A8" w:rsidRPr="001B24A8" w:rsidRDefault="001B24A8" w:rsidP="001B24A8">
            <w:pPr>
              <w:pStyle w:val="TableBodyText"/>
              <w:rPr>
                <w:rStyle w:val="BodyTextChar"/>
                <w:szCs w:val="20"/>
              </w:rPr>
            </w:pPr>
            <w:r w:rsidRPr="001B24A8">
              <w:rPr>
                <w:rStyle w:val="BodyTextChar"/>
                <w:szCs w:val="20"/>
              </w:rPr>
              <w:t>Average benefits</w:t>
            </w:r>
          </w:p>
        </w:tc>
      </w:tr>
      <w:tr w:rsidR="001B24A8" w:rsidRPr="001B24A8" w14:paraId="73EB71C8" w14:textId="77777777" w:rsidTr="001B24A8">
        <w:tc>
          <w:tcPr>
            <w:tcW w:w="4530" w:type="dxa"/>
          </w:tcPr>
          <w:p w14:paraId="0CAE21B2" w14:textId="77777777" w:rsidR="001B24A8" w:rsidRPr="001B24A8" w:rsidRDefault="001B24A8" w:rsidP="001B24A8">
            <w:pPr>
              <w:pStyle w:val="TableBodyText"/>
              <w:jc w:val="center"/>
              <w:rPr>
                <w:rStyle w:val="BodyTextChar"/>
                <w:szCs w:val="20"/>
              </w:rPr>
            </w:pPr>
            <w:r w:rsidRPr="001B24A8">
              <w:rPr>
                <w:rStyle w:val="BodyTextChar"/>
                <w:szCs w:val="20"/>
              </w:rPr>
              <w:t>4</w:t>
            </w:r>
          </w:p>
        </w:tc>
        <w:tc>
          <w:tcPr>
            <w:tcW w:w="4530" w:type="dxa"/>
          </w:tcPr>
          <w:p w14:paraId="0F4F653C" w14:textId="77777777" w:rsidR="001B24A8" w:rsidRPr="001B24A8" w:rsidRDefault="001B24A8" w:rsidP="001B24A8">
            <w:pPr>
              <w:pStyle w:val="TableBodyText"/>
              <w:rPr>
                <w:rStyle w:val="BodyTextChar"/>
                <w:szCs w:val="20"/>
              </w:rPr>
            </w:pPr>
            <w:r w:rsidRPr="001B24A8">
              <w:rPr>
                <w:rStyle w:val="BodyTextChar"/>
                <w:szCs w:val="20"/>
              </w:rPr>
              <w:t>Above average benefits</w:t>
            </w:r>
          </w:p>
        </w:tc>
      </w:tr>
      <w:tr w:rsidR="001B24A8" w:rsidRPr="001B24A8" w14:paraId="70F690CF" w14:textId="77777777" w:rsidTr="001B24A8">
        <w:tc>
          <w:tcPr>
            <w:tcW w:w="4530" w:type="dxa"/>
          </w:tcPr>
          <w:p w14:paraId="2A78EE55" w14:textId="77777777" w:rsidR="001B24A8" w:rsidRPr="001B24A8" w:rsidRDefault="001B24A8" w:rsidP="001B24A8">
            <w:pPr>
              <w:pStyle w:val="TableBodyText"/>
              <w:jc w:val="center"/>
              <w:rPr>
                <w:rStyle w:val="BodyTextChar"/>
                <w:szCs w:val="20"/>
              </w:rPr>
            </w:pPr>
            <w:r w:rsidRPr="001B24A8">
              <w:rPr>
                <w:rStyle w:val="BodyTextChar"/>
                <w:szCs w:val="20"/>
              </w:rPr>
              <w:t>5</w:t>
            </w:r>
          </w:p>
        </w:tc>
        <w:tc>
          <w:tcPr>
            <w:tcW w:w="4530" w:type="dxa"/>
          </w:tcPr>
          <w:p w14:paraId="7C5C0346" w14:textId="77777777" w:rsidR="001B24A8" w:rsidRPr="001B24A8" w:rsidRDefault="001B24A8" w:rsidP="001B24A8">
            <w:pPr>
              <w:pStyle w:val="TableBodyText"/>
              <w:rPr>
                <w:rStyle w:val="BodyTextChar"/>
                <w:szCs w:val="20"/>
              </w:rPr>
            </w:pPr>
            <w:r w:rsidRPr="001B24A8">
              <w:rPr>
                <w:rStyle w:val="BodyTextChar"/>
                <w:szCs w:val="20"/>
              </w:rPr>
              <w:t>Significant benefits</w:t>
            </w:r>
          </w:p>
        </w:tc>
      </w:tr>
    </w:tbl>
    <w:p w14:paraId="4DD21805" w14:textId="1319C860" w:rsidR="001B24A8" w:rsidRDefault="001B24A8" w:rsidP="001B24A8">
      <w:pPr>
        <w:spacing w:before="240"/>
        <w:rPr>
          <w:rStyle w:val="BodyTextChar"/>
        </w:rPr>
      </w:pPr>
      <w:r w:rsidRPr="001B24A8">
        <w:rPr>
          <w:rStyle w:val="BodyTextChar"/>
        </w:rPr>
        <w:t>Project teams review the results and determine the preferred option. It is important that the MCA process is undertaken in alignment with the steps described, and that the process and outcomes are recorded for review and approval by Transport and Main Roads. Outcomes and documentation must be provided to the Sustainability Representative</w:t>
      </w:r>
      <w:r>
        <w:rPr>
          <w:rStyle w:val="BodyTextChar"/>
        </w:rPr>
        <w:t>.</w:t>
      </w:r>
    </w:p>
    <w:p w14:paraId="7D9A77B0" w14:textId="77777777" w:rsidR="007046CB" w:rsidRDefault="007046CB" w:rsidP="00BA0926">
      <w:pPr>
        <w:rPr>
          <w:rStyle w:val="BodyTextChar"/>
        </w:rPr>
      </w:pPr>
    </w:p>
    <w:p w14:paraId="65DE5F47" w14:textId="6521E2BD" w:rsidR="002C28B5" w:rsidRDefault="002C28B5" w:rsidP="00BA0926">
      <w:pPr>
        <w:rPr>
          <w:rStyle w:val="BodyTextChar"/>
        </w:rPr>
        <w:sectPr w:rsidR="002C28B5" w:rsidSect="009B2530">
          <w:headerReference w:type="default" r:id="rId24"/>
          <w:footerReference w:type="default" r:id="rId25"/>
          <w:pgSz w:w="11906" w:h="16838" w:code="9"/>
          <w:pgMar w:top="1418" w:right="1418" w:bottom="1418" w:left="1418" w:header="454" w:footer="454" w:gutter="0"/>
          <w:pgNumType w:start="1"/>
          <w:cols w:space="708"/>
          <w:docGrid w:linePitch="360"/>
        </w:sectPr>
      </w:pPr>
    </w:p>
    <w:p w14:paraId="7B3D544C" w14:textId="77777777" w:rsidR="0061185E" w:rsidRPr="00CE6618" w:rsidRDefault="0061185E" w:rsidP="0061185E">
      <w:pPr>
        <w:pStyle w:val="BodyText"/>
      </w:pPr>
    </w:p>
    <w:p w14:paraId="7B3D544D" w14:textId="77777777" w:rsidR="0061185E" w:rsidRPr="00CE6618" w:rsidRDefault="0061185E" w:rsidP="0061185E">
      <w:pPr>
        <w:pStyle w:val="BodyText"/>
      </w:pPr>
    </w:p>
    <w:p w14:paraId="7B3D544E" w14:textId="77777777" w:rsidR="0061185E" w:rsidRPr="00CE6618" w:rsidRDefault="0061185E" w:rsidP="0061185E">
      <w:pPr>
        <w:pStyle w:val="BodyText"/>
      </w:pPr>
    </w:p>
    <w:p w14:paraId="7B3D544F" w14:textId="77777777" w:rsidR="0061185E" w:rsidRPr="00CE6618" w:rsidRDefault="0061185E" w:rsidP="0061185E">
      <w:pPr>
        <w:pStyle w:val="BodyText"/>
      </w:pPr>
    </w:p>
    <w:p w14:paraId="7B3D5450" w14:textId="77777777" w:rsidR="0061185E" w:rsidRPr="00CE6618" w:rsidRDefault="0061185E" w:rsidP="0061185E">
      <w:pPr>
        <w:pStyle w:val="BodyText"/>
      </w:pPr>
    </w:p>
    <w:sectPr w:rsidR="0061185E" w:rsidRPr="00CE6618" w:rsidSect="0061185E">
      <w:headerReference w:type="even" r:id="rId26"/>
      <w:headerReference w:type="default" r:id="rId27"/>
      <w:footerReference w:type="default" r:id="rId28"/>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C0B3" w14:textId="77777777" w:rsidR="008D0D3F" w:rsidRDefault="008D0D3F">
      <w:r>
        <w:separator/>
      </w:r>
    </w:p>
    <w:p w14:paraId="42D381B2" w14:textId="77777777" w:rsidR="008D0D3F" w:rsidRDefault="008D0D3F"/>
  </w:endnote>
  <w:endnote w:type="continuationSeparator" w:id="0">
    <w:p w14:paraId="3550CAA8" w14:textId="77777777" w:rsidR="008D0D3F" w:rsidRDefault="008D0D3F">
      <w:r>
        <w:continuationSeparator/>
      </w:r>
    </w:p>
    <w:p w14:paraId="777B4E31" w14:textId="77777777" w:rsidR="008D0D3F" w:rsidRDefault="008D0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C" w14:textId="77777777" w:rsidR="00BF7B37" w:rsidRDefault="00BF7B37"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B3D545D" w14:textId="77777777" w:rsidR="00BF7B37" w:rsidRDefault="00BF7B37"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E" w14:textId="77777777" w:rsidR="00BF7B37" w:rsidRPr="00391457" w:rsidRDefault="00BF7B37"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7B3D545F" w14:textId="77777777" w:rsidR="00BF7B37" w:rsidRPr="00391457" w:rsidRDefault="00BF7B37"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2" w14:textId="573F0467" w:rsidR="00BF7B37" w:rsidRPr="00176CC5" w:rsidRDefault="000527A4" w:rsidP="00176CC5">
    <w:pPr>
      <w:pStyle w:val="Footer"/>
    </w:pPr>
    <w:r>
      <w:t>Consultants for Engineering Projects</w:t>
    </w:r>
    <w:r w:rsidR="004D5E0B">
      <w:t xml:space="preserve">, </w:t>
    </w:r>
    <w:r w:rsidR="00117AA8">
      <w:t>Transport and Main</w:t>
    </w:r>
    <w:r w:rsidR="00BF7B37" w:rsidRPr="00176CC5">
      <w:t xml:space="preserve"> Roads</w:t>
    </w:r>
    <w:r w:rsidR="004D5E0B">
      <w:t xml:space="preserve">, </w:t>
    </w:r>
    <w:r w:rsidR="00D87138">
      <w:t>June 2024</w:t>
    </w:r>
    <w:r w:rsidR="00BF7B37"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4" w14:textId="77777777" w:rsidR="00BF7B37" w:rsidRPr="00F64B7F" w:rsidRDefault="00BF7B37"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6" w14:textId="29C3DD19" w:rsidR="00BF7B37" w:rsidRPr="009E5C89" w:rsidRDefault="003B083A" w:rsidP="00E92ACF">
    <w:pPr>
      <w:pStyle w:val="Footer"/>
      <w:tabs>
        <w:tab w:val="clear" w:pos="4153"/>
        <w:tab w:val="clear" w:pos="9540"/>
        <w:tab w:val="right" w:pos="9072"/>
      </w:tabs>
      <w:ind w:right="-2"/>
    </w:pPr>
    <w:r>
      <w:t>Consultants for Engineering Projects</w:t>
    </w:r>
    <w:r w:rsidR="004D5E0B">
      <w:t>, Transport and Main</w:t>
    </w:r>
    <w:r w:rsidR="004D5E0B" w:rsidRPr="00176CC5">
      <w:t xml:space="preserve"> Roads</w:t>
    </w:r>
    <w:r w:rsidR="004D5E0B">
      <w:t xml:space="preserve">, </w:t>
    </w:r>
    <w:r w:rsidR="00D87138">
      <w:t>June 2024</w:t>
    </w:r>
    <w:r w:rsidR="00BF7B37">
      <w:tab/>
    </w:r>
    <w:r w:rsidR="00BF7B37" w:rsidRPr="00391457">
      <w:rPr>
        <w:rStyle w:val="PageNumber"/>
      </w:rPr>
      <w:fldChar w:fldCharType="begin"/>
    </w:r>
    <w:r w:rsidR="00BF7B37" w:rsidRPr="00391457">
      <w:rPr>
        <w:rStyle w:val="PageNumber"/>
      </w:rPr>
      <w:instrText xml:space="preserve">PAGE  </w:instrText>
    </w:r>
    <w:r w:rsidR="00BF7B37" w:rsidRPr="00391457">
      <w:rPr>
        <w:rStyle w:val="PageNumber"/>
      </w:rPr>
      <w:fldChar w:fldCharType="separate"/>
    </w:r>
    <w:r w:rsidR="00E404D7">
      <w:rPr>
        <w:rStyle w:val="PageNumber"/>
        <w:noProof/>
      </w:rPr>
      <w:t>i</w:t>
    </w:r>
    <w:r w:rsidR="00BF7B37" w:rsidRPr="0039145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DEC8" w14:textId="2CFE4053" w:rsidR="00286FC2" w:rsidRPr="009E5C89" w:rsidRDefault="00286FC2" w:rsidP="00E92ACF">
    <w:pPr>
      <w:pStyle w:val="Footer"/>
      <w:tabs>
        <w:tab w:val="clear" w:pos="9540"/>
        <w:tab w:val="right" w:pos="9072"/>
      </w:tabs>
      <w:ind w:right="-2"/>
    </w:pPr>
    <w:r>
      <w:t>Consultants for Engineering Projects, Transport and Main</w:t>
    </w:r>
    <w:r w:rsidRPr="00176CC5">
      <w:t xml:space="preserve"> Roads</w:t>
    </w:r>
    <w:r>
      <w:t xml:space="preserve">, </w:t>
    </w:r>
    <w:r w:rsidR="00D87138">
      <w:t>June 2024</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w:t>
    </w:r>
    <w:r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B" w14:textId="3A80FE88" w:rsidR="00BF7B37" w:rsidRPr="00391457" w:rsidRDefault="002C28B5" w:rsidP="00176CC5">
    <w:pPr>
      <w:pStyle w:val="Footer"/>
    </w:pPr>
    <w:r>
      <w:rPr>
        <w:noProof/>
      </w:rPr>
      <w:drawing>
        <wp:anchor distT="0" distB="0" distL="114300" distR="114300" simplePos="0" relativeHeight="251667456" behindDoc="1" locked="0" layoutInCell="1" allowOverlap="1" wp14:anchorId="01B18286" wp14:editId="5EA6ECB2">
          <wp:simplePos x="0" y="0"/>
          <wp:positionH relativeFrom="page">
            <wp:align>right</wp:align>
          </wp:positionH>
          <wp:positionV relativeFrom="page">
            <wp:align>bottom</wp:align>
          </wp:positionV>
          <wp:extent cx="4027805" cy="698500"/>
          <wp:effectExtent l="0" t="0" r="0" b="6350"/>
          <wp:wrapNone/>
          <wp:docPr id="12" name="Picture 12" descr="Queensland Government contact number - 13 74 68&#10;Transport and Main Roads webpage - www.tmr.qld.gov.au&#10;Queensland Government webpage - www.qld.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contact number - 13 74 68&#10;Transport and Main Roads webpage - www.tmr.qld.gov.au&#10;Queensland Government webpage - www.qld.gov.au"/>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041E" w14:textId="77777777" w:rsidR="008D0D3F" w:rsidRDefault="008D0D3F">
      <w:r>
        <w:separator/>
      </w:r>
    </w:p>
    <w:p w14:paraId="31A8C28C" w14:textId="77777777" w:rsidR="008D0D3F" w:rsidRDefault="008D0D3F"/>
  </w:footnote>
  <w:footnote w:type="continuationSeparator" w:id="0">
    <w:p w14:paraId="4F1F9523" w14:textId="77777777" w:rsidR="008D0D3F" w:rsidRDefault="008D0D3F">
      <w:r>
        <w:continuationSeparator/>
      </w:r>
    </w:p>
    <w:p w14:paraId="09A947B8" w14:textId="77777777" w:rsidR="008D0D3F" w:rsidRDefault="008D0D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B" w14:textId="77777777" w:rsidR="00BF7B37" w:rsidRDefault="00CE6618">
    <w:pPr>
      <w:pStyle w:val="Header"/>
    </w:pPr>
    <w:r>
      <w:rPr>
        <w:noProof/>
      </w:rPr>
      <w:drawing>
        <wp:anchor distT="0" distB="0" distL="114300" distR="114300" simplePos="0" relativeHeight="251655168" behindDoc="1" locked="0" layoutInCell="1" allowOverlap="1" wp14:anchorId="7B3D546C" wp14:editId="7B3D546D">
          <wp:simplePos x="0" y="0"/>
          <wp:positionH relativeFrom="column">
            <wp:posOffset>-398780</wp:posOffset>
          </wp:positionH>
          <wp:positionV relativeFrom="paragraph">
            <wp:posOffset>-210820</wp:posOffset>
          </wp:positionV>
          <wp:extent cx="7456805" cy="10547985"/>
          <wp:effectExtent l="0" t="0" r="0" b="0"/>
          <wp:wrapNone/>
          <wp:docPr id="8" name="Picture 3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0" w14:textId="3BD417D8" w:rsidR="00BF7B37" w:rsidRDefault="002C28B5">
    <w:pPr>
      <w:pStyle w:val="Header"/>
    </w:pPr>
    <w:r>
      <w:rPr>
        <w:noProof/>
      </w:rPr>
      <w:drawing>
        <wp:anchor distT="0" distB="0" distL="114300" distR="114300" simplePos="0" relativeHeight="251665408" behindDoc="1" locked="0" layoutInCell="1" allowOverlap="1" wp14:anchorId="52A3915C" wp14:editId="28769774">
          <wp:simplePos x="0" y="0"/>
          <wp:positionH relativeFrom="page">
            <wp:align>right</wp:align>
          </wp:positionH>
          <wp:positionV relativeFrom="paragraph">
            <wp:posOffset>-290002</wp:posOffset>
          </wp:positionV>
          <wp:extent cx="7559675" cy="1069340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1" w14:textId="7ED60CA7" w:rsidR="00BF7B37" w:rsidRDefault="009407AF">
    <w:pPr>
      <w:pStyle w:val="Header"/>
    </w:pPr>
    <w:r>
      <w:rPr>
        <w:noProof/>
      </w:rPr>
      <mc:AlternateContent>
        <mc:Choice Requires="wps">
          <w:drawing>
            <wp:anchor distT="0" distB="0" distL="114300" distR="114300" simplePos="0" relativeHeight="251658240" behindDoc="0" locked="0" layoutInCell="1" allowOverlap="1" wp14:anchorId="7B3D5470" wp14:editId="1B8E3752">
              <wp:simplePos x="0" y="0"/>
              <wp:positionH relativeFrom="margin">
                <wp:posOffset>4445</wp:posOffset>
              </wp:positionH>
              <wp:positionV relativeFrom="margin">
                <wp:posOffset>3461385</wp:posOffset>
              </wp:positionV>
              <wp:extent cx="5579745" cy="54311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3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3DF10" w14:textId="77777777" w:rsidR="002C28B5" w:rsidRPr="001675E4" w:rsidRDefault="002C28B5" w:rsidP="002C28B5">
                          <w:pPr>
                            <w:pStyle w:val="HeadingPartChapter"/>
                            <w:spacing w:after="120"/>
                          </w:pPr>
                          <w:r>
                            <w:t>Copyright</w:t>
                          </w:r>
                        </w:p>
                        <w:p w14:paraId="5D615B27" w14:textId="77777777" w:rsidR="002C28B5" w:rsidRPr="001675E4" w:rsidRDefault="002C28B5" w:rsidP="002C28B5">
                          <w:pPr>
                            <w:pStyle w:val="BodyText"/>
                            <w:spacing w:after="0"/>
                          </w:pPr>
                          <w:r w:rsidRPr="001675E4">
                            <w:t>© The State of Queensland (Department of Transport and Main Roads) 20</w:t>
                          </w:r>
                          <w:r>
                            <w:t>24.</w:t>
                          </w:r>
                        </w:p>
                        <w:p w14:paraId="7AF2C80C" w14:textId="77777777" w:rsidR="002C28B5" w:rsidRPr="001675E4" w:rsidRDefault="002C28B5" w:rsidP="002C28B5">
                          <w:pPr>
                            <w:pStyle w:val="BodyText"/>
                            <w:spacing w:after="0" w:line="240" w:lineRule="auto"/>
                          </w:pPr>
                        </w:p>
                        <w:p w14:paraId="4EF16F3E" w14:textId="77777777" w:rsidR="002C28B5" w:rsidRDefault="002C28B5" w:rsidP="002C28B5">
                          <w:pPr>
                            <w:pStyle w:val="BodyText"/>
                            <w:spacing w:after="0"/>
                            <w:rPr>
                              <w:b/>
                            </w:rPr>
                          </w:pPr>
                          <w:r w:rsidRPr="009407AF">
                            <w:rPr>
                              <w:b/>
                            </w:rPr>
                            <w:t>Licence</w:t>
                          </w:r>
                        </w:p>
                        <w:p w14:paraId="1F45732B" w14:textId="77777777" w:rsidR="002C28B5" w:rsidRDefault="002C28B5" w:rsidP="002C28B5">
                          <w:pPr>
                            <w:pStyle w:val="BodyText"/>
                            <w:spacing w:after="0"/>
                            <w:rPr>
                              <w:b/>
                            </w:rPr>
                          </w:pPr>
                          <w:r w:rsidRPr="001675E4">
                            <w:rPr>
                              <w:noProof/>
                            </w:rPr>
                            <w:drawing>
                              <wp:inline distT="0" distB="0" distL="0" distR="0" wp14:anchorId="0A73C065" wp14:editId="15A896FF">
                                <wp:extent cx="809625" cy="3714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466003B3" w14:textId="77777777" w:rsidR="002C28B5" w:rsidRDefault="002C28B5" w:rsidP="002C28B5">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6C7AC404" w14:textId="77777777" w:rsidR="002C28B5" w:rsidRPr="009407AF" w:rsidRDefault="002C28B5" w:rsidP="002C28B5">
                          <w:pPr>
                            <w:pStyle w:val="BodyText"/>
                            <w:spacing w:after="0" w:line="240" w:lineRule="auto"/>
                            <w:rPr>
                              <w:b/>
                            </w:rPr>
                          </w:pPr>
                        </w:p>
                        <w:p w14:paraId="3CBEAD10" w14:textId="77777777" w:rsidR="002C28B5" w:rsidRPr="009407AF" w:rsidRDefault="002C28B5" w:rsidP="002C28B5">
                          <w:pPr>
                            <w:pStyle w:val="BodyText"/>
                            <w:spacing w:after="0"/>
                            <w:rPr>
                              <w:b/>
                            </w:rPr>
                          </w:pPr>
                          <w:r w:rsidRPr="009407AF">
                            <w:rPr>
                              <w:b/>
                            </w:rPr>
                            <w:t>CC BY licence summary statement</w:t>
                          </w:r>
                        </w:p>
                        <w:p w14:paraId="7A020FF5" w14:textId="77777777" w:rsidR="002C28B5" w:rsidRPr="001675E4" w:rsidRDefault="002C28B5" w:rsidP="002C28B5">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3C2B1F58" w14:textId="77777777" w:rsidR="002C28B5" w:rsidRPr="009407AF" w:rsidRDefault="002C28B5" w:rsidP="002C28B5">
                          <w:pPr>
                            <w:pStyle w:val="BodyText"/>
                            <w:spacing w:after="0" w:line="240" w:lineRule="auto"/>
                          </w:pPr>
                        </w:p>
                        <w:p w14:paraId="5D5E37D4" w14:textId="77777777" w:rsidR="002C28B5" w:rsidRDefault="002C28B5" w:rsidP="002C28B5">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2C28B5" w14:paraId="3C2BBADF" w14:textId="77777777" w:rsidTr="00F346D9">
                            <w:tc>
                              <w:tcPr>
                                <w:tcW w:w="1134" w:type="dxa"/>
                                <w:vAlign w:val="top"/>
                              </w:tcPr>
                              <w:p w14:paraId="02909716" w14:textId="77777777" w:rsidR="002C28B5" w:rsidRDefault="002C28B5" w:rsidP="002C28B5">
                                <w:pPr>
                                  <w:pStyle w:val="BodyText"/>
                                  <w:spacing w:before="120" w:after="20"/>
                                  <w:rPr>
                                    <w:b/>
                                  </w:rPr>
                                </w:pPr>
                                <w:r>
                                  <w:rPr>
                                    <w:noProof/>
                                  </w:rPr>
                                  <w:drawing>
                                    <wp:inline distT="0" distB="0" distL="0" distR="0" wp14:anchorId="7FB55FDE" wp14:editId="6C2BC06E">
                                      <wp:extent cx="536813" cy="609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0000DD05" w14:textId="77777777" w:rsidR="002C28B5" w:rsidRPr="00F600A5" w:rsidRDefault="002C28B5" w:rsidP="002C28B5">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74ACD45F" w14:textId="77777777" w:rsidR="002C28B5" w:rsidRDefault="002C28B5" w:rsidP="002C28B5">
                          <w:pPr>
                            <w:pStyle w:val="BodyText"/>
                            <w:spacing w:after="0" w:line="240" w:lineRule="auto"/>
                          </w:pPr>
                        </w:p>
                        <w:p w14:paraId="255C27EA" w14:textId="77777777" w:rsidR="002C28B5" w:rsidRPr="0045367D" w:rsidRDefault="002C28B5" w:rsidP="002C28B5">
                          <w:pPr>
                            <w:pStyle w:val="BodyText"/>
                            <w:spacing w:after="0"/>
                            <w:rPr>
                              <w:rStyle w:val="BodyTextbold"/>
                            </w:rPr>
                          </w:pPr>
                          <w:r w:rsidRPr="0045367D">
                            <w:rPr>
                              <w:rStyle w:val="BodyTextbold"/>
                            </w:rPr>
                            <w:t>Disclaimer</w:t>
                          </w:r>
                        </w:p>
                        <w:p w14:paraId="5B7408F5" w14:textId="77777777" w:rsidR="002C28B5" w:rsidRDefault="002C28B5" w:rsidP="002C28B5">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0D888DC0" w14:textId="77777777" w:rsidR="002C28B5" w:rsidRPr="001675E4" w:rsidRDefault="002C28B5" w:rsidP="002C28B5">
                          <w:pPr>
                            <w:pStyle w:val="BodyText"/>
                            <w:spacing w:after="0" w:line="240" w:lineRule="auto"/>
                          </w:pPr>
                        </w:p>
                        <w:p w14:paraId="4AB2C40F" w14:textId="77777777" w:rsidR="002C28B5" w:rsidRPr="009407AF" w:rsidRDefault="002C28B5" w:rsidP="002C28B5">
                          <w:pPr>
                            <w:pStyle w:val="BodyText"/>
                            <w:spacing w:after="0"/>
                            <w:rPr>
                              <w:b/>
                            </w:rPr>
                          </w:pPr>
                          <w:r w:rsidRPr="009407AF">
                            <w:rPr>
                              <w:b/>
                            </w:rPr>
                            <w:t>Feedback</w:t>
                          </w:r>
                        </w:p>
                        <w:p w14:paraId="47184DF6" w14:textId="77777777" w:rsidR="002C28B5" w:rsidRPr="00F322FA" w:rsidRDefault="002C28B5" w:rsidP="002C28B5">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p w14:paraId="7B3D547A" w14:textId="3CC18B90" w:rsidR="00BF7B37" w:rsidRPr="00F322FA" w:rsidRDefault="00BF7B37" w:rsidP="009407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D5470" id="_x0000_t202" coordsize="21600,21600" o:spt="202" path="m,l,21600r21600,l21600,xe">
              <v:stroke joinstyle="miter"/>
              <v:path gradientshapeok="t" o:connecttype="rect"/>
            </v:shapetype>
            <v:shape id="Text Box 43" o:spid="_x0000_s1026" type="#_x0000_t202" style="position:absolute;margin-left:.35pt;margin-top:272.55pt;width:439.35pt;height:42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" filled="f" stroked="f">
              <v:textbox inset="0,0,0,0">
                <w:txbxContent>
                  <w:p w14:paraId="6813DF10" w14:textId="77777777" w:rsidR="002C28B5" w:rsidRPr="001675E4" w:rsidRDefault="002C28B5" w:rsidP="002C28B5">
                    <w:pPr>
                      <w:pStyle w:val="HeadingPartChapter"/>
                      <w:spacing w:after="120"/>
                    </w:pPr>
                    <w:r>
                      <w:t>Copyright</w:t>
                    </w:r>
                  </w:p>
                  <w:p w14:paraId="5D615B27" w14:textId="77777777" w:rsidR="002C28B5" w:rsidRPr="001675E4" w:rsidRDefault="002C28B5" w:rsidP="002C28B5">
                    <w:pPr>
                      <w:pStyle w:val="BodyText"/>
                      <w:spacing w:after="0"/>
                    </w:pPr>
                    <w:r w:rsidRPr="001675E4">
                      <w:t>© The State of Queensland (Department of Transport and Main Roads) 20</w:t>
                    </w:r>
                    <w:r>
                      <w:t>24.</w:t>
                    </w:r>
                  </w:p>
                  <w:p w14:paraId="7AF2C80C" w14:textId="77777777" w:rsidR="002C28B5" w:rsidRPr="001675E4" w:rsidRDefault="002C28B5" w:rsidP="002C28B5">
                    <w:pPr>
                      <w:pStyle w:val="BodyText"/>
                      <w:spacing w:after="0" w:line="240" w:lineRule="auto"/>
                    </w:pPr>
                  </w:p>
                  <w:p w14:paraId="4EF16F3E" w14:textId="77777777" w:rsidR="002C28B5" w:rsidRDefault="002C28B5" w:rsidP="002C28B5">
                    <w:pPr>
                      <w:pStyle w:val="BodyText"/>
                      <w:spacing w:after="0"/>
                      <w:rPr>
                        <w:b/>
                      </w:rPr>
                    </w:pPr>
                    <w:r w:rsidRPr="009407AF">
                      <w:rPr>
                        <w:b/>
                      </w:rPr>
                      <w:t>Licence</w:t>
                    </w:r>
                  </w:p>
                  <w:p w14:paraId="1F45732B" w14:textId="77777777" w:rsidR="002C28B5" w:rsidRDefault="002C28B5" w:rsidP="002C28B5">
                    <w:pPr>
                      <w:pStyle w:val="BodyText"/>
                      <w:spacing w:after="0"/>
                      <w:rPr>
                        <w:b/>
                      </w:rPr>
                    </w:pPr>
                    <w:r w:rsidRPr="001675E4">
                      <w:rPr>
                        <w:noProof/>
                      </w:rPr>
                      <w:drawing>
                        <wp:inline distT="0" distB="0" distL="0" distR="0" wp14:anchorId="0A73C065" wp14:editId="15A896FF">
                          <wp:extent cx="809625" cy="3714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466003B3" w14:textId="77777777" w:rsidR="002C28B5" w:rsidRDefault="002C28B5" w:rsidP="002C28B5">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6C7AC404" w14:textId="77777777" w:rsidR="002C28B5" w:rsidRPr="009407AF" w:rsidRDefault="002C28B5" w:rsidP="002C28B5">
                    <w:pPr>
                      <w:pStyle w:val="BodyText"/>
                      <w:spacing w:after="0" w:line="240" w:lineRule="auto"/>
                      <w:rPr>
                        <w:b/>
                      </w:rPr>
                    </w:pPr>
                  </w:p>
                  <w:p w14:paraId="3CBEAD10" w14:textId="77777777" w:rsidR="002C28B5" w:rsidRPr="009407AF" w:rsidRDefault="002C28B5" w:rsidP="002C28B5">
                    <w:pPr>
                      <w:pStyle w:val="BodyText"/>
                      <w:spacing w:after="0"/>
                      <w:rPr>
                        <w:b/>
                      </w:rPr>
                    </w:pPr>
                    <w:r w:rsidRPr="009407AF">
                      <w:rPr>
                        <w:b/>
                      </w:rPr>
                      <w:t>CC BY licence summary statement</w:t>
                    </w:r>
                  </w:p>
                  <w:p w14:paraId="7A020FF5" w14:textId="77777777" w:rsidR="002C28B5" w:rsidRPr="001675E4" w:rsidRDefault="002C28B5" w:rsidP="002C28B5">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3C2B1F58" w14:textId="77777777" w:rsidR="002C28B5" w:rsidRPr="009407AF" w:rsidRDefault="002C28B5" w:rsidP="002C28B5">
                    <w:pPr>
                      <w:pStyle w:val="BodyText"/>
                      <w:spacing w:after="0" w:line="240" w:lineRule="auto"/>
                    </w:pPr>
                  </w:p>
                  <w:p w14:paraId="5D5E37D4" w14:textId="77777777" w:rsidR="002C28B5" w:rsidRDefault="002C28B5" w:rsidP="002C28B5">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2C28B5" w14:paraId="3C2BBADF" w14:textId="77777777" w:rsidTr="00F346D9">
                      <w:tc>
                        <w:tcPr>
                          <w:tcW w:w="1134" w:type="dxa"/>
                          <w:vAlign w:val="top"/>
                        </w:tcPr>
                        <w:p w14:paraId="02909716" w14:textId="77777777" w:rsidR="002C28B5" w:rsidRDefault="002C28B5" w:rsidP="002C28B5">
                          <w:pPr>
                            <w:pStyle w:val="BodyText"/>
                            <w:spacing w:before="120" w:after="20"/>
                            <w:rPr>
                              <w:b/>
                            </w:rPr>
                          </w:pPr>
                          <w:r>
                            <w:rPr>
                              <w:noProof/>
                            </w:rPr>
                            <w:drawing>
                              <wp:inline distT="0" distB="0" distL="0" distR="0" wp14:anchorId="7FB55FDE" wp14:editId="6C2BC06E">
                                <wp:extent cx="536813" cy="609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0000DD05" w14:textId="77777777" w:rsidR="002C28B5" w:rsidRPr="00F600A5" w:rsidRDefault="002C28B5" w:rsidP="002C28B5">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74ACD45F" w14:textId="77777777" w:rsidR="002C28B5" w:rsidRDefault="002C28B5" w:rsidP="002C28B5">
                    <w:pPr>
                      <w:pStyle w:val="BodyText"/>
                      <w:spacing w:after="0" w:line="240" w:lineRule="auto"/>
                    </w:pPr>
                  </w:p>
                  <w:p w14:paraId="255C27EA" w14:textId="77777777" w:rsidR="002C28B5" w:rsidRPr="0045367D" w:rsidRDefault="002C28B5" w:rsidP="002C28B5">
                    <w:pPr>
                      <w:pStyle w:val="BodyText"/>
                      <w:spacing w:after="0"/>
                      <w:rPr>
                        <w:rStyle w:val="BodyTextbold"/>
                      </w:rPr>
                    </w:pPr>
                    <w:r w:rsidRPr="0045367D">
                      <w:rPr>
                        <w:rStyle w:val="BodyTextbold"/>
                      </w:rPr>
                      <w:t>Disclaimer</w:t>
                    </w:r>
                  </w:p>
                  <w:p w14:paraId="5B7408F5" w14:textId="77777777" w:rsidR="002C28B5" w:rsidRDefault="002C28B5" w:rsidP="002C28B5">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0D888DC0" w14:textId="77777777" w:rsidR="002C28B5" w:rsidRPr="001675E4" w:rsidRDefault="002C28B5" w:rsidP="002C28B5">
                    <w:pPr>
                      <w:pStyle w:val="BodyText"/>
                      <w:spacing w:after="0" w:line="240" w:lineRule="auto"/>
                    </w:pPr>
                  </w:p>
                  <w:p w14:paraId="4AB2C40F" w14:textId="77777777" w:rsidR="002C28B5" w:rsidRPr="009407AF" w:rsidRDefault="002C28B5" w:rsidP="002C28B5">
                    <w:pPr>
                      <w:pStyle w:val="BodyText"/>
                      <w:spacing w:after="0"/>
                      <w:rPr>
                        <w:b/>
                      </w:rPr>
                    </w:pPr>
                    <w:r w:rsidRPr="009407AF">
                      <w:rPr>
                        <w:b/>
                      </w:rPr>
                      <w:t>Feedback</w:t>
                    </w:r>
                  </w:p>
                  <w:p w14:paraId="47184DF6" w14:textId="77777777" w:rsidR="002C28B5" w:rsidRPr="00F322FA" w:rsidRDefault="002C28B5" w:rsidP="002C28B5">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p w14:paraId="7B3D547A" w14:textId="3CC18B90" w:rsidR="00BF7B37" w:rsidRPr="00F322FA" w:rsidRDefault="00BF7B37" w:rsidP="009407AF">
                    <w:pPr>
                      <w:pStyle w:val="BodyText"/>
                    </w:pPr>
                  </w:p>
                </w:txbxContent>
              </v:textbox>
              <w10:wrap type="topAndBottom"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3" w14:textId="77777777" w:rsidR="00BF7B37" w:rsidRDefault="00CE6618">
    <w:pPr>
      <w:pStyle w:val="Header"/>
    </w:pPr>
    <w:r>
      <w:rPr>
        <w:noProof/>
      </w:rPr>
      <w:drawing>
        <wp:anchor distT="0" distB="0" distL="114300" distR="114300" simplePos="0" relativeHeight="251654144" behindDoc="1" locked="0" layoutInCell="1" allowOverlap="1" wp14:anchorId="7B3D5472" wp14:editId="7B3D5473">
          <wp:simplePos x="0" y="0"/>
          <wp:positionH relativeFrom="column">
            <wp:posOffset>-398780</wp:posOffset>
          </wp:positionH>
          <wp:positionV relativeFrom="paragraph">
            <wp:posOffset>-210820</wp:posOffset>
          </wp:positionV>
          <wp:extent cx="7456805" cy="10547985"/>
          <wp:effectExtent l="0" t="0" r="0" b="0"/>
          <wp:wrapNone/>
          <wp:docPr id="11"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5" w14:textId="56B65EFE" w:rsidR="00BF7B37" w:rsidRDefault="00BF7B37" w:rsidP="003C340E">
    <w:pPr>
      <w:pStyle w:val="Footer"/>
      <w:tabs>
        <w:tab w:val="clear" w:pos="9540"/>
        <w:tab w:val="right" w:pos="907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4C96" w14:textId="3AF64244" w:rsidR="00705732" w:rsidRDefault="00705732" w:rsidP="00705732">
    <w:pPr>
      <w:pStyle w:val="HeaderChapterpart"/>
    </w:pPr>
    <w:r>
      <w:t>Appendix B: Guide to Incorporating Sustainability into Project Decision-Making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9" w14:textId="77777777" w:rsidR="00BF7B37" w:rsidRDefault="00BF7B3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A" w14:textId="77777777" w:rsidR="00BF7B37" w:rsidRDefault="00BF7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DC3"/>
    <w:multiLevelType w:val="hybridMultilevel"/>
    <w:tmpl w:val="4AE256BA"/>
    <w:lvl w:ilvl="0" w:tplc="72F82C2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4821E8"/>
    <w:multiLevelType w:val="multilevel"/>
    <w:tmpl w:val="2FD20586"/>
    <w:numStyleLink w:val="ListAllBullets3Level"/>
  </w:abstractNum>
  <w:abstractNum w:abstractNumId="3" w15:restartNumberingAfterBreak="0">
    <w:nsid w:val="0D4C5414"/>
    <w:multiLevelType w:val="multilevel"/>
    <w:tmpl w:val="2FD20586"/>
    <w:numStyleLink w:val="ListAllBullets3Level"/>
  </w:abstractNum>
  <w:abstractNum w:abstractNumId="4" w15:restartNumberingAfterBreak="0">
    <w:nsid w:val="117E395C"/>
    <w:multiLevelType w:val="multilevel"/>
    <w:tmpl w:val="5DAC17FA"/>
    <w:numStyleLink w:val="TableListSmallNumber"/>
  </w:abstractNum>
  <w:abstractNum w:abstractNumId="5"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15B59DA"/>
    <w:multiLevelType w:val="hybridMultilevel"/>
    <w:tmpl w:val="771013BC"/>
    <w:lvl w:ilvl="0" w:tplc="FC62C3A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64B5478"/>
    <w:multiLevelType w:val="hybridMultilevel"/>
    <w:tmpl w:val="8B9202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B0774F"/>
    <w:multiLevelType w:val="multilevel"/>
    <w:tmpl w:val="2FD20586"/>
    <w:numStyleLink w:val="ListAllBullets3Level"/>
  </w:abstractNum>
  <w:abstractNum w:abstractNumId="13" w15:restartNumberingAfterBreak="0">
    <w:nsid w:val="3B973DEB"/>
    <w:multiLevelType w:val="multilevel"/>
    <w:tmpl w:val="2FD20586"/>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4" w15:restartNumberingAfterBreak="0">
    <w:nsid w:val="3D4716F6"/>
    <w:multiLevelType w:val="multilevel"/>
    <w:tmpl w:val="B2B20138"/>
    <w:numStyleLink w:val="TableListAllLetter3level"/>
  </w:abstractNum>
  <w:abstractNum w:abstractNumId="15" w15:restartNumberingAfterBreak="0">
    <w:nsid w:val="3D8B4F1F"/>
    <w:multiLevelType w:val="hybridMultilevel"/>
    <w:tmpl w:val="5E869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57582309"/>
    <w:multiLevelType w:val="multilevel"/>
    <w:tmpl w:val="2FD20586"/>
    <w:numStyleLink w:val="ListAllBullets3Level"/>
  </w:abstractNum>
  <w:abstractNum w:abstractNumId="18" w15:restartNumberingAfterBreak="0">
    <w:nsid w:val="63EF0846"/>
    <w:multiLevelType w:val="multilevel"/>
    <w:tmpl w:val="2FD20586"/>
    <w:numStyleLink w:val="ListAllBullets3Level"/>
  </w:abstractNum>
  <w:abstractNum w:abstractNumId="19"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6AA22235"/>
    <w:multiLevelType w:val="multilevel"/>
    <w:tmpl w:val="FE245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83A2BE4"/>
    <w:multiLevelType w:val="hybridMultilevel"/>
    <w:tmpl w:val="F4DAF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B15E02"/>
    <w:multiLevelType w:val="multilevel"/>
    <w:tmpl w:val="DC821EBC"/>
    <w:numStyleLink w:val="TableListAllBullets3Level"/>
  </w:abstractNum>
  <w:num w:numId="1" w16cid:durableId="270354956">
    <w:abstractNumId w:val="7"/>
  </w:num>
  <w:num w:numId="2" w16cid:durableId="2035961501">
    <w:abstractNumId w:val="13"/>
  </w:num>
  <w:num w:numId="3" w16cid:durableId="312220797">
    <w:abstractNumId w:val="19"/>
  </w:num>
  <w:num w:numId="4" w16cid:durableId="2117939506">
    <w:abstractNumId w:val="1"/>
  </w:num>
  <w:num w:numId="5" w16cid:durableId="1950431618">
    <w:abstractNumId w:val="10"/>
  </w:num>
  <w:num w:numId="6" w16cid:durableId="1629504655">
    <w:abstractNumId w:val="8"/>
  </w:num>
  <w:num w:numId="7" w16cid:durableId="1388602105">
    <w:abstractNumId w:val="5"/>
  </w:num>
  <w:num w:numId="8" w16cid:durableId="1662392402">
    <w:abstractNumId w:val="12"/>
  </w:num>
  <w:num w:numId="9" w16cid:durableId="729499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9233177">
    <w:abstractNumId w:val="2"/>
  </w:num>
  <w:num w:numId="11" w16cid:durableId="312150389">
    <w:abstractNumId w:val="6"/>
  </w:num>
  <w:num w:numId="12" w16cid:durableId="2065370744">
    <w:abstractNumId w:val="16"/>
  </w:num>
  <w:num w:numId="13" w16cid:durableId="1122382861">
    <w:abstractNumId w:val="21"/>
  </w:num>
  <w:num w:numId="14" w16cid:durableId="876746446">
    <w:abstractNumId w:val="15"/>
  </w:num>
  <w:num w:numId="15" w16cid:durableId="513037376">
    <w:abstractNumId w:val="11"/>
  </w:num>
  <w:num w:numId="16" w16cid:durableId="1566530284">
    <w:abstractNumId w:val="20"/>
  </w:num>
  <w:num w:numId="17" w16cid:durableId="12662265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5233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3073191">
    <w:abstractNumId w:val="17"/>
  </w:num>
  <w:num w:numId="20" w16cid:durableId="1764572823">
    <w:abstractNumId w:val="22"/>
  </w:num>
  <w:num w:numId="21" w16cid:durableId="1193347025">
    <w:abstractNumId w:val="14"/>
  </w:num>
  <w:num w:numId="22" w16cid:durableId="150370021">
    <w:abstractNumId w:val="4"/>
  </w:num>
  <w:num w:numId="23" w16cid:durableId="988939963">
    <w:abstractNumId w:val="3"/>
  </w:num>
  <w:num w:numId="24" w16cid:durableId="96366236">
    <w:abstractNumId w:val="0"/>
  </w:num>
  <w:num w:numId="25" w16cid:durableId="426733444">
    <w:abstractNumId w:val="3"/>
  </w:num>
  <w:num w:numId="26" w16cid:durableId="380056616">
    <w:abstractNumId w:val="3"/>
  </w:num>
  <w:num w:numId="27" w16cid:durableId="1398043908">
    <w:abstractNumId w:val="18"/>
  </w:num>
  <w:num w:numId="28" w16cid:durableId="3767096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590070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5DDC"/>
    <w:rsid w:val="00017E9F"/>
    <w:rsid w:val="00022028"/>
    <w:rsid w:val="00022FEC"/>
    <w:rsid w:val="000236F8"/>
    <w:rsid w:val="000313CD"/>
    <w:rsid w:val="00042CEB"/>
    <w:rsid w:val="000527A4"/>
    <w:rsid w:val="0006499F"/>
    <w:rsid w:val="00066DBE"/>
    <w:rsid w:val="0006713E"/>
    <w:rsid w:val="00070044"/>
    <w:rsid w:val="0007165A"/>
    <w:rsid w:val="000913ED"/>
    <w:rsid w:val="00096FC7"/>
    <w:rsid w:val="000B047B"/>
    <w:rsid w:val="000B71E8"/>
    <w:rsid w:val="000E1CE3"/>
    <w:rsid w:val="0010528D"/>
    <w:rsid w:val="00115E98"/>
    <w:rsid w:val="00117AA8"/>
    <w:rsid w:val="00125B5A"/>
    <w:rsid w:val="00125E04"/>
    <w:rsid w:val="001276D9"/>
    <w:rsid w:val="00172FEB"/>
    <w:rsid w:val="00176CC5"/>
    <w:rsid w:val="001810DF"/>
    <w:rsid w:val="001A4752"/>
    <w:rsid w:val="001A697D"/>
    <w:rsid w:val="001A7C0A"/>
    <w:rsid w:val="001B1393"/>
    <w:rsid w:val="001B24A8"/>
    <w:rsid w:val="001B5C15"/>
    <w:rsid w:val="001C6957"/>
    <w:rsid w:val="001C6D5F"/>
    <w:rsid w:val="001E3E78"/>
    <w:rsid w:val="001F2035"/>
    <w:rsid w:val="00213230"/>
    <w:rsid w:val="00216756"/>
    <w:rsid w:val="00216F79"/>
    <w:rsid w:val="00217457"/>
    <w:rsid w:val="00231903"/>
    <w:rsid w:val="00232573"/>
    <w:rsid w:val="00234B98"/>
    <w:rsid w:val="002405CD"/>
    <w:rsid w:val="002407FF"/>
    <w:rsid w:val="00242C60"/>
    <w:rsid w:val="00246798"/>
    <w:rsid w:val="002669B1"/>
    <w:rsid w:val="00271868"/>
    <w:rsid w:val="002738CB"/>
    <w:rsid w:val="00273C11"/>
    <w:rsid w:val="00275DDB"/>
    <w:rsid w:val="00277E0F"/>
    <w:rsid w:val="00286FC2"/>
    <w:rsid w:val="00287680"/>
    <w:rsid w:val="002A50A0"/>
    <w:rsid w:val="002C28B5"/>
    <w:rsid w:val="002C2F25"/>
    <w:rsid w:val="002E0B83"/>
    <w:rsid w:val="002E427A"/>
    <w:rsid w:val="002E6EBF"/>
    <w:rsid w:val="002F2356"/>
    <w:rsid w:val="0030503A"/>
    <w:rsid w:val="003108B7"/>
    <w:rsid w:val="0031235E"/>
    <w:rsid w:val="003135D2"/>
    <w:rsid w:val="00315F53"/>
    <w:rsid w:val="00322F9D"/>
    <w:rsid w:val="003231FA"/>
    <w:rsid w:val="003323B1"/>
    <w:rsid w:val="00336228"/>
    <w:rsid w:val="00350E10"/>
    <w:rsid w:val="00361264"/>
    <w:rsid w:val="00363C04"/>
    <w:rsid w:val="003717FA"/>
    <w:rsid w:val="00376A0A"/>
    <w:rsid w:val="00383A3B"/>
    <w:rsid w:val="003859EE"/>
    <w:rsid w:val="00391457"/>
    <w:rsid w:val="003960ED"/>
    <w:rsid w:val="003A5033"/>
    <w:rsid w:val="003B083A"/>
    <w:rsid w:val="003C340E"/>
    <w:rsid w:val="003D1729"/>
    <w:rsid w:val="003E0E9D"/>
    <w:rsid w:val="003E3C82"/>
    <w:rsid w:val="00400CF8"/>
    <w:rsid w:val="004030EB"/>
    <w:rsid w:val="00403422"/>
    <w:rsid w:val="00443FA8"/>
    <w:rsid w:val="004525EA"/>
    <w:rsid w:val="00456933"/>
    <w:rsid w:val="00456A07"/>
    <w:rsid w:val="00471B39"/>
    <w:rsid w:val="00477792"/>
    <w:rsid w:val="00477962"/>
    <w:rsid w:val="00485DDC"/>
    <w:rsid w:val="004C2895"/>
    <w:rsid w:val="004C3F31"/>
    <w:rsid w:val="004D1FDD"/>
    <w:rsid w:val="004D2E76"/>
    <w:rsid w:val="004D5E0B"/>
    <w:rsid w:val="004E2112"/>
    <w:rsid w:val="004E3F40"/>
    <w:rsid w:val="004E49B7"/>
    <w:rsid w:val="004F4085"/>
    <w:rsid w:val="004F4C42"/>
    <w:rsid w:val="00501027"/>
    <w:rsid w:val="00521D18"/>
    <w:rsid w:val="005233EF"/>
    <w:rsid w:val="00526282"/>
    <w:rsid w:val="00530265"/>
    <w:rsid w:val="00531F22"/>
    <w:rsid w:val="005424A4"/>
    <w:rsid w:val="00556E72"/>
    <w:rsid w:val="005748A5"/>
    <w:rsid w:val="00575CE8"/>
    <w:rsid w:val="005815CB"/>
    <w:rsid w:val="00582599"/>
    <w:rsid w:val="00582E91"/>
    <w:rsid w:val="0059511F"/>
    <w:rsid w:val="005C1DF1"/>
    <w:rsid w:val="005D3973"/>
    <w:rsid w:val="005D59C0"/>
    <w:rsid w:val="0060080E"/>
    <w:rsid w:val="0061185E"/>
    <w:rsid w:val="00614210"/>
    <w:rsid w:val="00622BC5"/>
    <w:rsid w:val="00627EC8"/>
    <w:rsid w:val="00635475"/>
    <w:rsid w:val="00641639"/>
    <w:rsid w:val="00645A39"/>
    <w:rsid w:val="00650E09"/>
    <w:rsid w:val="00666E20"/>
    <w:rsid w:val="00676214"/>
    <w:rsid w:val="00686875"/>
    <w:rsid w:val="006915E9"/>
    <w:rsid w:val="006A6908"/>
    <w:rsid w:val="006C2B1A"/>
    <w:rsid w:val="006D2668"/>
    <w:rsid w:val="006D2FDF"/>
    <w:rsid w:val="006D52CB"/>
    <w:rsid w:val="006D553A"/>
    <w:rsid w:val="007046CB"/>
    <w:rsid w:val="00705732"/>
    <w:rsid w:val="00723F1A"/>
    <w:rsid w:val="00730962"/>
    <w:rsid w:val="00730C95"/>
    <w:rsid w:val="007361A3"/>
    <w:rsid w:val="007462A6"/>
    <w:rsid w:val="00761EC7"/>
    <w:rsid w:val="007672DC"/>
    <w:rsid w:val="0077261D"/>
    <w:rsid w:val="00785550"/>
    <w:rsid w:val="00793FA9"/>
    <w:rsid w:val="00796D7D"/>
    <w:rsid w:val="007A460B"/>
    <w:rsid w:val="007A65FD"/>
    <w:rsid w:val="007C4319"/>
    <w:rsid w:val="007D0963"/>
    <w:rsid w:val="007D76AC"/>
    <w:rsid w:val="00811807"/>
    <w:rsid w:val="008807C8"/>
    <w:rsid w:val="008843E8"/>
    <w:rsid w:val="008A19A0"/>
    <w:rsid w:val="008B3748"/>
    <w:rsid w:val="008B61BF"/>
    <w:rsid w:val="008D02E2"/>
    <w:rsid w:val="008D0D3F"/>
    <w:rsid w:val="008F36D9"/>
    <w:rsid w:val="008F47F2"/>
    <w:rsid w:val="00904118"/>
    <w:rsid w:val="00906A63"/>
    <w:rsid w:val="0091452E"/>
    <w:rsid w:val="00926AFF"/>
    <w:rsid w:val="00937DB8"/>
    <w:rsid w:val="009407AF"/>
    <w:rsid w:val="00940C46"/>
    <w:rsid w:val="00944A3A"/>
    <w:rsid w:val="00945942"/>
    <w:rsid w:val="009712C0"/>
    <w:rsid w:val="00971E68"/>
    <w:rsid w:val="00973A98"/>
    <w:rsid w:val="0098641F"/>
    <w:rsid w:val="00994D97"/>
    <w:rsid w:val="00996610"/>
    <w:rsid w:val="00996C59"/>
    <w:rsid w:val="009A39CB"/>
    <w:rsid w:val="009A671A"/>
    <w:rsid w:val="009B2530"/>
    <w:rsid w:val="009B39D2"/>
    <w:rsid w:val="009B6FF8"/>
    <w:rsid w:val="009E22DF"/>
    <w:rsid w:val="009E2926"/>
    <w:rsid w:val="009E5C89"/>
    <w:rsid w:val="00A00922"/>
    <w:rsid w:val="00A00F46"/>
    <w:rsid w:val="00A042E5"/>
    <w:rsid w:val="00A121EB"/>
    <w:rsid w:val="00A12D4E"/>
    <w:rsid w:val="00A20B17"/>
    <w:rsid w:val="00A218C2"/>
    <w:rsid w:val="00A27877"/>
    <w:rsid w:val="00A52AB4"/>
    <w:rsid w:val="00A53D9A"/>
    <w:rsid w:val="00A57440"/>
    <w:rsid w:val="00A8127D"/>
    <w:rsid w:val="00A832D7"/>
    <w:rsid w:val="00A9555C"/>
    <w:rsid w:val="00A97046"/>
    <w:rsid w:val="00AA18F5"/>
    <w:rsid w:val="00AA6B2F"/>
    <w:rsid w:val="00AA7630"/>
    <w:rsid w:val="00AA7C6C"/>
    <w:rsid w:val="00AB5329"/>
    <w:rsid w:val="00AC154D"/>
    <w:rsid w:val="00AC4DD9"/>
    <w:rsid w:val="00AC5414"/>
    <w:rsid w:val="00AC7203"/>
    <w:rsid w:val="00AD4D04"/>
    <w:rsid w:val="00AD7634"/>
    <w:rsid w:val="00AE06C1"/>
    <w:rsid w:val="00AE43B4"/>
    <w:rsid w:val="00AE72A9"/>
    <w:rsid w:val="00AE78C4"/>
    <w:rsid w:val="00AF27EF"/>
    <w:rsid w:val="00AF7DD6"/>
    <w:rsid w:val="00B249E6"/>
    <w:rsid w:val="00B4064C"/>
    <w:rsid w:val="00B705E6"/>
    <w:rsid w:val="00B712C5"/>
    <w:rsid w:val="00B8333F"/>
    <w:rsid w:val="00B8519F"/>
    <w:rsid w:val="00BA0926"/>
    <w:rsid w:val="00BA1450"/>
    <w:rsid w:val="00BB09C2"/>
    <w:rsid w:val="00BB468F"/>
    <w:rsid w:val="00BC17C8"/>
    <w:rsid w:val="00BC3ED2"/>
    <w:rsid w:val="00BC68B8"/>
    <w:rsid w:val="00BD257C"/>
    <w:rsid w:val="00BD5378"/>
    <w:rsid w:val="00BD72F8"/>
    <w:rsid w:val="00BE327E"/>
    <w:rsid w:val="00BE6F04"/>
    <w:rsid w:val="00BF0295"/>
    <w:rsid w:val="00BF2FA5"/>
    <w:rsid w:val="00BF373B"/>
    <w:rsid w:val="00BF7B37"/>
    <w:rsid w:val="00C226B2"/>
    <w:rsid w:val="00C33EEE"/>
    <w:rsid w:val="00C34106"/>
    <w:rsid w:val="00C352F9"/>
    <w:rsid w:val="00C50278"/>
    <w:rsid w:val="00C62500"/>
    <w:rsid w:val="00C71C9F"/>
    <w:rsid w:val="00C76378"/>
    <w:rsid w:val="00C81006"/>
    <w:rsid w:val="00C94A99"/>
    <w:rsid w:val="00C965C0"/>
    <w:rsid w:val="00CA107F"/>
    <w:rsid w:val="00CA3157"/>
    <w:rsid w:val="00CA4B9D"/>
    <w:rsid w:val="00CA52EB"/>
    <w:rsid w:val="00CD30F9"/>
    <w:rsid w:val="00CE2058"/>
    <w:rsid w:val="00CE22EC"/>
    <w:rsid w:val="00CE6618"/>
    <w:rsid w:val="00CF1B4C"/>
    <w:rsid w:val="00D00ECB"/>
    <w:rsid w:val="00D01D6F"/>
    <w:rsid w:val="00D12160"/>
    <w:rsid w:val="00D124FD"/>
    <w:rsid w:val="00D137DA"/>
    <w:rsid w:val="00D15248"/>
    <w:rsid w:val="00D247AD"/>
    <w:rsid w:val="00D435F2"/>
    <w:rsid w:val="00D56593"/>
    <w:rsid w:val="00D62B49"/>
    <w:rsid w:val="00D67F00"/>
    <w:rsid w:val="00D725E3"/>
    <w:rsid w:val="00D8447C"/>
    <w:rsid w:val="00D86598"/>
    <w:rsid w:val="00D86937"/>
    <w:rsid w:val="00D87138"/>
    <w:rsid w:val="00DA0BC3"/>
    <w:rsid w:val="00DA20DD"/>
    <w:rsid w:val="00DC076F"/>
    <w:rsid w:val="00DC376C"/>
    <w:rsid w:val="00DE56ED"/>
    <w:rsid w:val="00DE703E"/>
    <w:rsid w:val="00DF1C54"/>
    <w:rsid w:val="00DF27E0"/>
    <w:rsid w:val="00DF40B1"/>
    <w:rsid w:val="00E0714C"/>
    <w:rsid w:val="00E404D7"/>
    <w:rsid w:val="00E424E9"/>
    <w:rsid w:val="00E53219"/>
    <w:rsid w:val="00E57BCE"/>
    <w:rsid w:val="00E57C45"/>
    <w:rsid w:val="00E70EA9"/>
    <w:rsid w:val="00E8162F"/>
    <w:rsid w:val="00E84619"/>
    <w:rsid w:val="00E92ACF"/>
    <w:rsid w:val="00E96F32"/>
    <w:rsid w:val="00EA319A"/>
    <w:rsid w:val="00EB09BB"/>
    <w:rsid w:val="00EB7396"/>
    <w:rsid w:val="00EC0517"/>
    <w:rsid w:val="00ED06E5"/>
    <w:rsid w:val="00ED5C9C"/>
    <w:rsid w:val="00EE3AA3"/>
    <w:rsid w:val="00EE7EEC"/>
    <w:rsid w:val="00EF2FDD"/>
    <w:rsid w:val="00F05413"/>
    <w:rsid w:val="00F15554"/>
    <w:rsid w:val="00F30D7C"/>
    <w:rsid w:val="00F322FA"/>
    <w:rsid w:val="00F44BA4"/>
    <w:rsid w:val="00F45A8D"/>
    <w:rsid w:val="00F600A5"/>
    <w:rsid w:val="00F64B7F"/>
    <w:rsid w:val="00F70E96"/>
    <w:rsid w:val="00F81DBB"/>
    <w:rsid w:val="00F87D4E"/>
    <w:rsid w:val="00F93E45"/>
    <w:rsid w:val="00FA2F9E"/>
    <w:rsid w:val="00FA5570"/>
    <w:rsid w:val="00FA752B"/>
    <w:rsid w:val="00FB1E71"/>
    <w:rsid w:val="00FB66C6"/>
    <w:rsid w:val="00FC2AE6"/>
    <w:rsid w:val="00FC5568"/>
    <w:rsid w:val="00FC5DE8"/>
    <w:rsid w:val="00FC7935"/>
    <w:rsid w:val="00FD514B"/>
    <w:rsid w:val="00FE5C99"/>
    <w:rsid w:val="00FF2717"/>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B3D5406"/>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E92ACF"/>
    <w:pPr>
      <w:keepNext/>
      <w:keepLines/>
      <w:numPr>
        <w:ilvl w:val="1"/>
        <w:numId w:val="1"/>
      </w:numPr>
      <w:outlineLvl w:val="1"/>
    </w:pPr>
    <w:rPr>
      <w:rFonts w:cs="Arial"/>
      <w:b/>
      <w:bCs/>
      <w:i/>
      <w:iCs/>
      <w:sz w:val="21"/>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D725E3"/>
    <w:pPr>
      <w:tabs>
        <w:tab w:val="left" w:pos="567"/>
      </w:tabs>
      <w:spacing w:after="240"/>
    </w:pPr>
    <w:rPr>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27"/>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customStyle="1" w:styleId="Default">
    <w:name w:val="Default"/>
    <w:rsid w:val="009407AF"/>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rsid w:val="006915E9"/>
    <w:rPr>
      <w:sz w:val="16"/>
      <w:szCs w:val="16"/>
    </w:rPr>
  </w:style>
  <w:style w:type="paragraph" w:styleId="CommentText">
    <w:name w:val="annotation text"/>
    <w:basedOn w:val="Normal"/>
    <w:link w:val="CommentTextChar"/>
    <w:rsid w:val="006915E9"/>
    <w:pPr>
      <w:spacing w:line="240" w:lineRule="auto"/>
    </w:pPr>
    <w:rPr>
      <w:szCs w:val="20"/>
    </w:rPr>
  </w:style>
  <w:style w:type="character" w:customStyle="1" w:styleId="CommentTextChar">
    <w:name w:val="Comment Text Char"/>
    <w:basedOn w:val="DefaultParagraphFont"/>
    <w:link w:val="CommentText"/>
    <w:rsid w:val="006915E9"/>
    <w:rPr>
      <w:rFonts w:ascii="Arial" w:hAnsi="Arial"/>
    </w:rPr>
  </w:style>
  <w:style w:type="paragraph" w:styleId="CommentSubject">
    <w:name w:val="annotation subject"/>
    <w:basedOn w:val="CommentText"/>
    <w:next w:val="CommentText"/>
    <w:link w:val="CommentSubjectChar"/>
    <w:rsid w:val="006915E9"/>
    <w:rPr>
      <w:b/>
      <w:bCs/>
    </w:rPr>
  </w:style>
  <w:style w:type="character" w:customStyle="1" w:styleId="CommentSubjectChar">
    <w:name w:val="Comment Subject Char"/>
    <w:basedOn w:val="CommentTextChar"/>
    <w:link w:val="CommentSubject"/>
    <w:rsid w:val="006915E9"/>
    <w:rPr>
      <w:rFonts w:ascii="Arial" w:hAnsi="Arial"/>
      <w:b/>
      <w:bCs/>
    </w:rPr>
  </w:style>
  <w:style w:type="paragraph" w:styleId="BalloonText">
    <w:name w:val="Balloon Text"/>
    <w:basedOn w:val="Normal"/>
    <w:link w:val="BalloonTextChar"/>
    <w:rsid w:val="00691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915E9"/>
    <w:rPr>
      <w:rFonts w:ascii="Segoe UI" w:hAnsi="Segoe UI" w:cs="Segoe UI"/>
      <w:sz w:val="18"/>
      <w:szCs w:val="18"/>
    </w:rPr>
  </w:style>
  <w:style w:type="paragraph" w:styleId="ListParagraph">
    <w:name w:val="List Paragraph"/>
    <w:basedOn w:val="Normal"/>
    <w:uiPriority w:val="34"/>
    <w:qFormat/>
    <w:rsid w:val="000236F8"/>
    <w:pPr>
      <w:ind w:left="720"/>
      <w:contextualSpacing/>
    </w:pPr>
  </w:style>
  <w:style w:type="character" w:styleId="UnresolvedMention">
    <w:name w:val="Unresolved Mention"/>
    <w:basedOn w:val="DefaultParagraphFont"/>
    <w:uiPriority w:val="99"/>
    <w:semiHidden/>
    <w:unhideWhenUsed/>
    <w:rsid w:val="002C28B5"/>
    <w:rPr>
      <w:color w:val="605E5C"/>
      <w:shd w:val="clear" w:color="auto" w:fill="E1DFDD"/>
    </w:rPr>
  </w:style>
  <w:style w:type="paragraph" w:styleId="Revision">
    <w:name w:val="Revision"/>
    <w:hidden/>
    <w:uiPriority w:val="99"/>
    <w:semiHidden/>
    <w:rsid w:val="007046C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tmr.qld.gov.au/business-industry/Technical-standards-publications/Consultants-for-engineering-projects" TargetMode="External"/><Relationship Id="rId27" Type="http://schemas.openxmlformats.org/officeDocument/2006/relationships/header" Target="header8.xml"/><Relationship Id="rId30" Type="http://schemas.openxmlformats.org/officeDocument/2006/relationships/theme" Target="theme/theme1.xml"/></Relationships>
</file>

<file path=word/_rels/footer7.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196821DEF2654CA461F8F68C5FAE19" ma:contentTypeVersion="9" ma:contentTypeDescription="Create a new document." ma:contentTypeScope="" ma:versionID="679d70384dcd8cf1d4df296407b42d21">
  <xsd:schema xmlns:xsd="http://www.w3.org/2001/XMLSchema" xmlns:xs="http://www.w3.org/2001/XMLSchema" xmlns:p="http://schemas.microsoft.com/office/2006/metadata/properties" xmlns:ns1="http://schemas.microsoft.com/sharepoint/v3" xmlns:ns2="a4b41637-c39a-4fcf-ba83-ba894a3db53d" targetNamespace="http://schemas.microsoft.com/office/2006/metadata/properties" ma:root="true" ma:fieldsID="78e26bd99cccd8759e85fbffed1037c9" ns1:_="" ns2:_="">
    <xsd:import namespace="http://schemas.microsoft.com/sharepoint/v3"/>
    <xsd:import namespace="a4b41637-c39a-4fcf-ba83-ba894a3db53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b41637-c39a-4fcf-ba83-ba894a3db53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a4b41637-c39a-4fcf-ba83-ba894a3db53d">false</_dlc_DocIdPersistId>
    <_dlc_DocId xmlns="a4b41637-c39a-4fcf-ba83-ba894a3db53d">D5FAUEVVHHAR-224-1</_dlc_DocId>
    <_dlc_DocIdUrl xmlns="a4b41637-c39a-4fcf-ba83-ba894a3db53d">
      <Url>https://inside.tmr.qld.gov.au/sites/engtech/technologies-and-services/_layouts/15/DocIdRedir.aspx?ID=D5FAUEVVHHAR-224-1</Url>
      <Description>D5FAUEVVHHAR-224-1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CC804D-8B05-4A0A-A857-4B46814A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b41637-c39a-4fcf-ba83-ba894a3d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8155A-B3AD-4B8B-84F8-2AB720732F9B}">
  <ds:schemaRefs>
    <ds:schemaRef ds:uri="http://www.w3.org/XML/1998/namespace"/>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a4b41637-c39a-4fcf-ba83-ba894a3db53d"/>
  </ds:schemaRefs>
</ds:datastoreItem>
</file>

<file path=customXml/itemProps3.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4.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5.xml><?xml version="1.0" encoding="utf-8"?>
<ds:datastoreItem xmlns:ds="http://schemas.openxmlformats.org/officeDocument/2006/customXml" ds:itemID="{0DB211BE-0087-4C8A-BED7-92B34FB764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56</TotalTime>
  <Pages>7</Pages>
  <Words>962</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Consultants for Engineering Projects</vt:lpstr>
    </vt:vector>
  </TitlesOfParts>
  <Company>Department of Transport and Main Roads</Company>
  <LinksUpToDate>false</LinksUpToDate>
  <CharactersWithSpaces>7204</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Consultants for Engineering Projects</dc:title>
  <dc:subject>Appendix B: Guide to Incorporating Sustainability into Project Decision-Making</dc:subject>
  <dc:creator>Department of Transport and Main Roads</dc:creator>
  <cp:keywords>CFEP;</cp:keywords>
  <dc:description/>
  <cp:lastModifiedBy>Lucas F Tong</cp:lastModifiedBy>
  <cp:revision>17</cp:revision>
  <cp:lastPrinted>2013-06-20T03:17:00Z</cp:lastPrinted>
  <dcterms:created xsi:type="dcterms:W3CDTF">2020-08-12T06:21:00Z</dcterms:created>
  <dcterms:modified xsi:type="dcterms:W3CDTF">2024-06-06T03:16:00Z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Project">
    <vt:lpwstr>5</vt:lpwstr>
  </property>
  <property fmtid="{D5CDD505-2E9C-101B-9397-08002B2CF9AE}" pid="6" name="Order">
    <vt:r8>7800</vt:r8>
  </property>
  <property fmtid="{D5CDD505-2E9C-101B-9397-08002B2CF9AE}" pid="7" name="Description0">
    <vt:lpwstr>Template for authors writing technical publications.</vt:lpwstr>
  </property>
  <property fmtid="{D5CDD505-2E9C-101B-9397-08002B2CF9AE}" pid="8" name="xd_Signature">
    <vt:bool>false</vt:bool>
  </property>
  <property fmtid="{D5CDD505-2E9C-101B-9397-08002B2CF9AE}" pid="9" name="xd_ProgID">
    <vt:lpwstr/>
  </property>
  <property fmtid="{D5CDD505-2E9C-101B-9397-08002B2CF9AE}" pid="10" name="Document type">
    <vt:lpwstr>15</vt:lpwstr>
  </property>
  <property fmtid="{D5CDD505-2E9C-101B-9397-08002B2CF9AE}" pid="11" name="ContentTypeId">
    <vt:lpwstr>0x01010059196821DEF2654CA461F8F68C5FAE19</vt:lpwstr>
  </property>
  <property fmtid="{D5CDD505-2E9C-101B-9397-08002B2CF9AE}" pid="12" name="Directorate">
    <vt:lpwstr>22</vt:lpwstr>
  </property>
  <property fmtid="{D5CDD505-2E9C-101B-9397-08002B2CF9AE}" pid="13" name="TemplateUrl">
    <vt:lpwstr/>
  </property>
  <property fmtid="{D5CDD505-2E9C-101B-9397-08002B2CF9AE}" pid="14" name="_dlc_DocIdItemGuid">
    <vt:lpwstr>dda7a3a2-83f9-472c-88df-bea56fd456a7</vt:lpwstr>
  </property>
  <property fmtid="{D5CDD505-2E9C-101B-9397-08002B2CF9AE}" pid="15" name="URL">
    <vt:lpwstr/>
  </property>
</Properties>
</file>