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8C08" w14:textId="77777777" w:rsidR="00E47617" w:rsidRDefault="00E47617" w:rsidP="00E47617">
      <w:pPr>
        <w:tabs>
          <w:tab w:val="left" w:pos="1830"/>
        </w:tabs>
        <w:spacing w:after="160" w:line="259" w:lineRule="auto"/>
        <w:rPr>
          <w:noProof/>
        </w:rPr>
      </w:pPr>
    </w:p>
    <w:sdt>
      <w:sdtPr>
        <w:rPr>
          <w:rFonts w:ascii="Arial" w:eastAsiaTheme="minorHAnsi" w:hAnsi="Arial" w:cstheme="minorBidi"/>
          <w:b w:val="0"/>
          <w:noProof/>
          <w:color w:val="FFFFFF" w:themeColor="background1"/>
          <w:spacing w:val="0"/>
          <w:kern w:val="0"/>
          <w:sz w:val="24"/>
          <w:szCs w:val="22"/>
        </w:rPr>
        <w:id w:val="1931085303"/>
        <w:docPartObj>
          <w:docPartGallery w:val="Cover Pages"/>
          <w:docPartUnique/>
        </w:docPartObj>
      </w:sdtPr>
      <w:sdtEndPr>
        <w:rPr>
          <w:rFonts w:eastAsiaTheme="majorEastAsia" w:cstheme="majorBidi"/>
          <w:color w:val="003E69"/>
          <w:sz w:val="56"/>
          <w:szCs w:val="32"/>
        </w:rPr>
      </w:sdtEndPr>
      <w:sdtContent>
        <w:p w14:paraId="43B3F0EA" w14:textId="77777777" w:rsidR="00AB26C2" w:rsidRDefault="00AB26C2" w:rsidP="00AB26C2">
          <w:pPr>
            <w:pStyle w:val="Title"/>
            <w:rPr>
              <w:noProof/>
              <w:color w:val="FFFFFF" w:themeColor="background1"/>
            </w:rPr>
          </w:pPr>
        </w:p>
        <w:p w14:paraId="692E0AF6" w14:textId="77777777" w:rsidR="00AB26C2" w:rsidRDefault="00AB26C2" w:rsidP="00AB26C2">
          <w:pPr>
            <w:pStyle w:val="Title"/>
            <w:rPr>
              <w:noProof/>
              <w:color w:val="FFFFFF" w:themeColor="background1"/>
            </w:rPr>
          </w:pPr>
        </w:p>
        <w:p w14:paraId="266763EC" w14:textId="77777777" w:rsidR="00AB26C2" w:rsidRDefault="00AB26C2" w:rsidP="00AB26C2">
          <w:pPr>
            <w:pStyle w:val="Title"/>
            <w:rPr>
              <w:noProof/>
              <w:color w:val="FFFFFF" w:themeColor="background1"/>
            </w:rPr>
          </w:pPr>
        </w:p>
        <w:p w14:paraId="6771256E" w14:textId="77777777" w:rsidR="00AB26C2" w:rsidRDefault="00AB26C2" w:rsidP="00AB26C2">
          <w:pPr>
            <w:pStyle w:val="Title"/>
            <w:rPr>
              <w:noProof/>
              <w:color w:val="FFFFFF" w:themeColor="background1"/>
            </w:rPr>
          </w:pPr>
        </w:p>
        <w:p w14:paraId="7AB5DED9" w14:textId="77777777" w:rsidR="00AB26C2" w:rsidRDefault="00AB26C2" w:rsidP="00AB26C2">
          <w:pPr>
            <w:pStyle w:val="Title"/>
            <w:rPr>
              <w:noProof/>
              <w:color w:val="FFFFFF" w:themeColor="background1"/>
            </w:rPr>
          </w:pPr>
        </w:p>
        <w:p w14:paraId="2E332EA2" w14:textId="77777777" w:rsidR="00AB26C2" w:rsidRDefault="00AB26C2" w:rsidP="00AB26C2">
          <w:pPr>
            <w:pStyle w:val="Title"/>
            <w:rPr>
              <w:noProof/>
              <w:color w:val="FFFFFF" w:themeColor="background1"/>
            </w:rPr>
          </w:pPr>
        </w:p>
        <w:p w14:paraId="26345D99" w14:textId="77777777" w:rsidR="00AC5FA8" w:rsidRDefault="00AB26C2" w:rsidP="00AC5FA8">
          <w:pPr>
            <w:pStyle w:val="Title"/>
            <w:ind w:left="-284"/>
            <w:rPr>
              <w:noProof/>
              <w:color w:val="FFFFFF" w:themeColor="background1"/>
            </w:rPr>
          </w:pPr>
          <w:r w:rsidRPr="00AB26C2">
            <w:rPr>
              <w:noProof/>
              <w:color w:val="FFFFFF" w:themeColor="background1"/>
            </w:rPr>
            <w:drawing>
              <wp:anchor distT="0" distB="0" distL="114300" distR="114300" simplePos="0" relativeHeight="251659264" behindDoc="1" locked="1" layoutInCell="1" allowOverlap="1" wp14:anchorId="17AA5D82" wp14:editId="345E728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10692000"/>
                <wp:effectExtent l="0" t="0" r="3175" b="0"/>
                <wp:wrapNone/>
                <wp:docPr id="101" name="Picture 1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" name="Picture 10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B26C2">
            <w:rPr>
              <w:noProof/>
              <w:color w:val="FFFFFF" w:themeColor="background1"/>
            </w:rPr>
            <w:t>Queensland</w:t>
          </w:r>
          <w:r>
            <w:rPr>
              <w:noProof/>
              <w:color w:val="FFFFFF" w:themeColor="background1"/>
            </w:rPr>
            <w:t xml:space="preserve"> Level Crossing Safety Action Plan </w:t>
          </w:r>
        </w:p>
        <w:p w14:paraId="7C90C3CE" w14:textId="7FF647FB" w:rsidR="00AB26C2" w:rsidRPr="00AC5FA8" w:rsidRDefault="00AB26C2" w:rsidP="00AC5FA8">
          <w:pPr>
            <w:pStyle w:val="Title"/>
            <w:ind w:hanging="284"/>
            <w:rPr>
              <w:noProof/>
              <w:color w:val="FFFFFF" w:themeColor="background1"/>
              <w:sz w:val="52"/>
              <w:szCs w:val="48"/>
            </w:rPr>
          </w:pPr>
          <w:r w:rsidRPr="00AC5FA8">
            <w:rPr>
              <w:noProof/>
              <w:color w:val="FFFFFF" w:themeColor="background1"/>
              <w:sz w:val="52"/>
              <w:szCs w:val="48"/>
            </w:rPr>
            <w:t>2024-2026</w:t>
          </w:r>
        </w:p>
        <w:p w14:paraId="58B4B690" w14:textId="77777777" w:rsidR="00AB26C2" w:rsidRDefault="00AB26C2">
          <w:pPr>
            <w:spacing w:before="0" w:after="160" w:line="259" w:lineRule="auto"/>
            <w:rPr>
              <w:rFonts w:asciiTheme="majorHAnsi" w:eastAsiaTheme="majorEastAsia" w:hAnsiTheme="majorHAnsi" w:cstheme="majorBidi"/>
              <w:b/>
              <w:noProof/>
              <w:color w:val="FFFFFF" w:themeColor="background1"/>
              <w:spacing w:val="-10"/>
              <w:kern w:val="28"/>
              <w:sz w:val="72"/>
              <w:szCs w:val="56"/>
            </w:rPr>
          </w:pPr>
          <w:r>
            <w:rPr>
              <w:noProof/>
              <w:color w:val="FFFFFF" w:themeColor="background1"/>
            </w:rPr>
            <w:br w:type="page"/>
          </w:r>
        </w:p>
        <w:p w14:paraId="35CD9EFF" w14:textId="1D63E46F" w:rsidR="00035A97" w:rsidRPr="005B5F23" w:rsidRDefault="00AB26C2" w:rsidP="005B5F23">
          <w:pPr>
            <w:pStyle w:val="Heading1"/>
            <w:ind w:left="-567"/>
            <w:rPr>
              <w:sz w:val="56"/>
              <w:szCs w:val="32"/>
            </w:rPr>
          </w:pPr>
          <w:r w:rsidRPr="005B5F23">
            <w:rPr>
              <w:b/>
              <w:bCs/>
              <w:noProof/>
              <w:sz w:val="56"/>
              <w:szCs w:val="32"/>
            </w:rPr>
            <w:lastRenderedPageBreak/>
            <w:t>Education and Enforcement</w:t>
          </w:r>
        </w:p>
      </w:sdtContent>
    </w:sdt>
    <w:tbl>
      <w:tblPr>
        <w:tblStyle w:val="TMRDefault"/>
        <w:tblW w:w="10348" w:type="dxa"/>
        <w:tblInd w:w="-567" w:type="dxa"/>
        <w:tblLook w:val="04A0" w:firstRow="1" w:lastRow="0" w:firstColumn="1" w:lastColumn="0" w:noHBand="0" w:noVBand="1"/>
      </w:tblPr>
      <w:tblGrid>
        <w:gridCol w:w="682"/>
        <w:gridCol w:w="2360"/>
        <w:gridCol w:w="1532"/>
        <w:gridCol w:w="1833"/>
        <w:gridCol w:w="1732"/>
        <w:gridCol w:w="2209"/>
      </w:tblGrid>
      <w:tr w:rsidR="00AC5FA8" w14:paraId="5BFD8B5D" w14:textId="77777777" w:rsidTr="00AC5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7" w:type="dxa"/>
          </w:tcPr>
          <w:p w14:paraId="2C5976ED" w14:textId="4DC85A09" w:rsidR="00AB26C2" w:rsidRPr="00AB26C2" w:rsidRDefault="00AB26C2">
            <w:pPr>
              <w:spacing w:before="0" w:after="160" w:line="259" w:lineRule="auto"/>
              <w:rPr>
                <w:color w:val="FFFFFF" w:themeColor="background1"/>
              </w:rPr>
            </w:pPr>
          </w:p>
        </w:tc>
        <w:tc>
          <w:tcPr>
            <w:tcW w:w="2439" w:type="dxa"/>
          </w:tcPr>
          <w:p w14:paraId="7F343736" w14:textId="77777777" w:rsidR="00AB26C2" w:rsidRPr="00AB26C2" w:rsidRDefault="00AB26C2">
            <w:pPr>
              <w:spacing w:before="0" w:after="160" w:line="259" w:lineRule="auto"/>
              <w:rPr>
                <w:color w:val="FFFFFF" w:themeColor="background1"/>
              </w:rPr>
            </w:pPr>
            <w:r w:rsidRPr="00AB26C2">
              <w:rPr>
                <w:color w:val="FFFFFF" w:themeColor="background1"/>
              </w:rPr>
              <w:t>Key action</w:t>
            </w:r>
          </w:p>
        </w:tc>
        <w:tc>
          <w:tcPr>
            <w:tcW w:w="1532" w:type="dxa"/>
          </w:tcPr>
          <w:p w14:paraId="11372003" w14:textId="77777777" w:rsidR="00AB26C2" w:rsidRPr="00AB26C2" w:rsidRDefault="00AB26C2">
            <w:pPr>
              <w:spacing w:before="0" w:after="160" w:line="259" w:lineRule="auto"/>
              <w:rPr>
                <w:color w:val="FFFFFF" w:themeColor="background1"/>
              </w:rPr>
            </w:pPr>
            <w:r w:rsidRPr="00AB26C2">
              <w:rPr>
                <w:color w:val="FFFFFF" w:themeColor="background1"/>
              </w:rPr>
              <w:t>Timeframe</w:t>
            </w:r>
          </w:p>
        </w:tc>
        <w:tc>
          <w:tcPr>
            <w:tcW w:w="1844" w:type="dxa"/>
          </w:tcPr>
          <w:p w14:paraId="0AD3BD47" w14:textId="77777777" w:rsidR="00AB26C2" w:rsidRPr="00AB26C2" w:rsidRDefault="00AB26C2">
            <w:pPr>
              <w:spacing w:before="0" w:after="160" w:line="259" w:lineRule="auto"/>
              <w:rPr>
                <w:color w:val="FFFFFF" w:themeColor="background1"/>
              </w:rPr>
            </w:pPr>
            <w:r w:rsidRPr="00AB26C2">
              <w:rPr>
                <w:color w:val="FFFFFF" w:themeColor="background1"/>
              </w:rPr>
              <w:t>Lead</w:t>
            </w:r>
          </w:p>
        </w:tc>
        <w:tc>
          <w:tcPr>
            <w:tcW w:w="1558" w:type="dxa"/>
          </w:tcPr>
          <w:p w14:paraId="78110A62" w14:textId="77777777" w:rsidR="00AB26C2" w:rsidRPr="00AB26C2" w:rsidRDefault="00AB26C2">
            <w:pPr>
              <w:spacing w:before="0" w:after="160" w:line="259" w:lineRule="auto"/>
              <w:rPr>
                <w:color w:val="FFFFFF" w:themeColor="background1"/>
              </w:rPr>
            </w:pPr>
            <w:r w:rsidRPr="00AB26C2">
              <w:rPr>
                <w:color w:val="FFFFFF" w:themeColor="background1"/>
              </w:rPr>
              <w:t>Key supporters</w:t>
            </w:r>
          </w:p>
        </w:tc>
        <w:tc>
          <w:tcPr>
            <w:tcW w:w="2268" w:type="dxa"/>
          </w:tcPr>
          <w:p w14:paraId="40C83748" w14:textId="77777777" w:rsidR="00AB26C2" w:rsidRPr="00AB26C2" w:rsidRDefault="00AB26C2">
            <w:pPr>
              <w:spacing w:before="0" w:after="160" w:line="259" w:lineRule="auto"/>
              <w:rPr>
                <w:color w:val="FFFFFF" w:themeColor="background1"/>
              </w:rPr>
            </w:pPr>
            <w:r w:rsidRPr="00AB26C2">
              <w:rPr>
                <w:color w:val="FFFFFF" w:themeColor="background1"/>
              </w:rPr>
              <w:t>Success measure</w:t>
            </w:r>
          </w:p>
        </w:tc>
      </w:tr>
      <w:tr w:rsidR="00AC5FA8" w14:paraId="7F499BA2" w14:textId="77777777" w:rsidTr="00AC5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7" w:type="dxa"/>
          </w:tcPr>
          <w:p w14:paraId="28D85032" w14:textId="77777777" w:rsidR="00AB26C2" w:rsidRDefault="00AB26C2">
            <w:pPr>
              <w:spacing w:before="0" w:after="160" w:line="259" w:lineRule="auto"/>
            </w:pPr>
            <w:r>
              <w:t>1</w:t>
            </w:r>
          </w:p>
        </w:tc>
        <w:tc>
          <w:tcPr>
            <w:tcW w:w="2439" w:type="dxa"/>
          </w:tcPr>
          <w:p w14:paraId="0D8946BD" w14:textId="77777777" w:rsidR="00AB26C2" w:rsidRDefault="00AB26C2" w:rsidP="00AB26C2">
            <w:pPr>
              <w:spacing w:before="0" w:after="160" w:line="259" w:lineRule="auto"/>
            </w:pPr>
            <w:r w:rsidRPr="00AB26C2">
              <w:t>Promote level crossing safety</w:t>
            </w:r>
            <w:r>
              <w:t xml:space="preserve"> </w:t>
            </w:r>
            <w:r w:rsidRPr="00AB26C2">
              <w:t>awareness</w:t>
            </w:r>
            <w:r>
              <w:t xml:space="preserve"> i</w:t>
            </w:r>
            <w:r w:rsidRPr="00AB26C2">
              <w:t>ncluding</w:t>
            </w:r>
            <w:r>
              <w:t xml:space="preserve"> </w:t>
            </w:r>
            <w:r w:rsidRPr="00AB26C2">
              <w:t>participation in the annual</w:t>
            </w:r>
            <w:r>
              <w:t xml:space="preserve"> </w:t>
            </w:r>
            <w:r w:rsidRPr="00AB26C2">
              <w:t>national Rail Safety Week</w:t>
            </w:r>
          </w:p>
        </w:tc>
        <w:tc>
          <w:tcPr>
            <w:tcW w:w="1532" w:type="dxa"/>
          </w:tcPr>
          <w:p w14:paraId="666B7974" w14:textId="77777777" w:rsidR="00AB26C2" w:rsidRDefault="00AB26C2">
            <w:pPr>
              <w:spacing w:before="0" w:after="160" w:line="259" w:lineRule="auto"/>
            </w:pPr>
            <w:r>
              <w:t>Ongoing</w:t>
            </w:r>
          </w:p>
        </w:tc>
        <w:tc>
          <w:tcPr>
            <w:tcW w:w="1844" w:type="dxa"/>
          </w:tcPr>
          <w:p w14:paraId="441F4B34" w14:textId="77777777" w:rsidR="00AB26C2" w:rsidRDefault="00AB26C2">
            <w:pPr>
              <w:spacing w:before="0" w:after="160" w:line="259" w:lineRule="auto"/>
            </w:pPr>
            <w:r>
              <w:t>Queensland Level Crossing Safety Group</w:t>
            </w:r>
          </w:p>
        </w:tc>
        <w:tc>
          <w:tcPr>
            <w:tcW w:w="1558" w:type="dxa"/>
          </w:tcPr>
          <w:p w14:paraId="7F94F196" w14:textId="77777777" w:rsidR="00AB26C2" w:rsidRDefault="00AB26C2">
            <w:pPr>
              <w:spacing w:before="0" w:after="160" w:line="259" w:lineRule="auto"/>
            </w:pPr>
            <w:r>
              <w:t>All members</w:t>
            </w:r>
          </w:p>
        </w:tc>
        <w:tc>
          <w:tcPr>
            <w:tcW w:w="2268" w:type="dxa"/>
          </w:tcPr>
          <w:p w14:paraId="100516AF" w14:textId="77777777" w:rsidR="00AB26C2" w:rsidRDefault="00AB26C2">
            <w:pPr>
              <w:spacing w:before="0" w:after="160" w:line="259" w:lineRule="auto"/>
            </w:pPr>
            <w:r>
              <w:t>Promotion of annual Rail Safety Week through various channels</w:t>
            </w:r>
          </w:p>
          <w:p w14:paraId="2E43EF8C" w14:textId="77777777" w:rsidR="00AB26C2" w:rsidRDefault="00AB26C2">
            <w:pPr>
              <w:spacing w:before="0" w:after="160" w:line="259" w:lineRule="auto"/>
            </w:pPr>
            <w:r>
              <w:t>Number of social media posts and amount of material and campaigns shared</w:t>
            </w:r>
          </w:p>
        </w:tc>
      </w:tr>
      <w:tr w:rsidR="00AC5FA8" w14:paraId="1DC5AE61" w14:textId="77777777" w:rsidTr="00AC5FA8">
        <w:tc>
          <w:tcPr>
            <w:tcW w:w="707" w:type="dxa"/>
          </w:tcPr>
          <w:p w14:paraId="45E48485" w14:textId="77777777" w:rsidR="00AB26C2" w:rsidRDefault="00AB26C2">
            <w:pPr>
              <w:spacing w:before="0" w:after="160" w:line="259" w:lineRule="auto"/>
            </w:pPr>
            <w:r>
              <w:t>2</w:t>
            </w:r>
          </w:p>
        </w:tc>
        <w:tc>
          <w:tcPr>
            <w:tcW w:w="2439" w:type="dxa"/>
          </w:tcPr>
          <w:p w14:paraId="6ABCC718" w14:textId="0450BCA3" w:rsidR="00AB26C2" w:rsidRDefault="00AC5FA8">
            <w:pPr>
              <w:spacing w:before="0" w:after="160" w:line="259" w:lineRule="auto"/>
            </w:pPr>
            <w:r w:rsidRPr="00AC5FA8">
              <w:t>Targeted awareness and enforcement at level crossings across Queensland based on intelligence holdings</w:t>
            </w:r>
          </w:p>
        </w:tc>
        <w:tc>
          <w:tcPr>
            <w:tcW w:w="1532" w:type="dxa"/>
          </w:tcPr>
          <w:p w14:paraId="672EC952" w14:textId="58A3906A" w:rsidR="00AB26C2" w:rsidRDefault="00AC5FA8">
            <w:pPr>
              <w:spacing w:before="0" w:after="160" w:line="259" w:lineRule="auto"/>
            </w:pPr>
            <w:r>
              <w:t>Ongoing</w:t>
            </w:r>
          </w:p>
        </w:tc>
        <w:tc>
          <w:tcPr>
            <w:tcW w:w="1844" w:type="dxa"/>
          </w:tcPr>
          <w:p w14:paraId="08EE3452" w14:textId="63AF89B7" w:rsidR="00AB26C2" w:rsidRDefault="00AC5FA8">
            <w:pPr>
              <w:spacing w:before="0" w:after="160" w:line="259" w:lineRule="auto"/>
            </w:pPr>
            <w:r>
              <w:t>Queensland Police Service</w:t>
            </w:r>
          </w:p>
        </w:tc>
        <w:tc>
          <w:tcPr>
            <w:tcW w:w="1558" w:type="dxa"/>
          </w:tcPr>
          <w:p w14:paraId="3559E5FC" w14:textId="34565549" w:rsidR="00AB26C2" w:rsidRDefault="00AC5FA8">
            <w:pPr>
              <w:spacing w:before="0" w:after="160" w:line="259" w:lineRule="auto"/>
            </w:pPr>
            <w:r>
              <w:t>Rail Infrastructure Managers</w:t>
            </w:r>
          </w:p>
        </w:tc>
        <w:tc>
          <w:tcPr>
            <w:tcW w:w="2268" w:type="dxa"/>
          </w:tcPr>
          <w:p w14:paraId="54D8D73A" w14:textId="4432CB57" w:rsidR="00AB26C2" w:rsidRDefault="00AC5FA8">
            <w:pPr>
              <w:spacing w:before="0" w:after="160" w:line="259" w:lineRule="auto"/>
            </w:pPr>
            <w:r>
              <w:t>Enforcement undertaken towards incident reduction</w:t>
            </w:r>
          </w:p>
        </w:tc>
      </w:tr>
      <w:tr w:rsidR="00AC5FA8" w14:paraId="30C7E4C7" w14:textId="77777777" w:rsidTr="00AC5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7" w:type="dxa"/>
          </w:tcPr>
          <w:p w14:paraId="43BF7EB4" w14:textId="77777777" w:rsidR="00AB26C2" w:rsidRDefault="00AB26C2">
            <w:pPr>
              <w:spacing w:before="0" w:after="160" w:line="259" w:lineRule="auto"/>
            </w:pPr>
            <w:r>
              <w:t>3</w:t>
            </w:r>
          </w:p>
        </w:tc>
        <w:tc>
          <w:tcPr>
            <w:tcW w:w="2439" w:type="dxa"/>
          </w:tcPr>
          <w:p w14:paraId="246C9376" w14:textId="7841B369" w:rsidR="00AB26C2" w:rsidRDefault="00AC5FA8">
            <w:pPr>
              <w:spacing w:before="0" w:after="160" w:line="259" w:lineRule="auto"/>
            </w:pPr>
            <w:r>
              <w:t>Investigate and trial level crossing safety camera technology</w:t>
            </w:r>
          </w:p>
        </w:tc>
        <w:tc>
          <w:tcPr>
            <w:tcW w:w="1532" w:type="dxa"/>
          </w:tcPr>
          <w:p w14:paraId="7461E810" w14:textId="69787090" w:rsidR="00AB26C2" w:rsidRDefault="00AC5FA8">
            <w:pPr>
              <w:spacing w:before="0" w:after="160" w:line="259" w:lineRule="auto"/>
            </w:pPr>
            <w:r>
              <w:t>2024-2025</w:t>
            </w:r>
          </w:p>
        </w:tc>
        <w:tc>
          <w:tcPr>
            <w:tcW w:w="1844" w:type="dxa"/>
          </w:tcPr>
          <w:p w14:paraId="6B10919D" w14:textId="6F31E954" w:rsidR="00AB26C2" w:rsidRDefault="00AC5FA8">
            <w:pPr>
              <w:spacing w:before="0" w:after="160" w:line="259" w:lineRule="auto"/>
            </w:pPr>
            <w:r>
              <w:t>Transport and Main Roads</w:t>
            </w:r>
          </w:p>
        </w:tc>
        <w:tc>
          <w:tcPr>
            <w:tcW w:w="1558" w:type="dxa"/>
          </w:tcPr>
          <w:p w14:paraId="38E9F23B" w14:textId="77777777" w:rsidR="00AB26C2" w:rsidRDefault="00AC5FA8">
            <w:pPr>
              <w:spacing w:before="0" w:after="160" w:line="259" w:lineRule="auto"/>
            </w:pPr>
            <w:r>
              <w:t>Rail Infrastructure Managers</w:t>
            </w:r>
          </w:p>
          <w:p w14:paraId="75AF3223" w14:textId="3373A693" w:rsidR="00AC5FA8" w:rsidRDefault="00AC5FA8">
            <w:pPr>
              <w:spacing w:before="0" w:after="160" w:line="259" w:lineRule="auto"/>
            </w:pPr>
            <w:r>
              <w:t>Road Managers</w:t>
            </w:r>
          </w:p>
        </w:tc>
        <w:tc>
          <w:tcPr>
            <w:tcW w:w="2268" w:type="dxa"/>
          </w:tcPr>
          <w:p w14:paraId="5D235D87" w14:textId="4FC3FBF0" w:rsidR="00AB26C2" w:rsidRDefault="00AC5FA8">
            <w:pPr>
              <w:spacing w:before="0" w:after="160" w:line="259" w:lineRule="auto"/>
            </w:pPr>
            <w:r>
              <w:t>Proof of concept developed and evaluated</w:t>
            </w:r>
          </w:p>
        </w:tc>
      </w:tr>
      <w:tr w:rsidR="00AC5FA8" w14:paraId="2B111B64" w14:textId="77777777" w:rsidTr="00AC5FA8">
        <w:tc>
          <w:tcPr>
            <w:tcW w:w="707" w:type="dxa"/>
          </w:tcPr>
          <w:p w14:paraId="7FA06CDF" w14:textId="77777777" w:rsidR="00AB26C2" w:rsidRDefault="00AB26C2">
            <w:pPr>
              <w:spacing w:before="0" w:after="160" w:line="259" w:lineRule="auto"/>
            </w:pPr>
            <w:r>
              <w:t>4</w:t>
            </w:r>
          </w:p>
        </w:tc>
        <w:tc>
          <w:tcPr>
            <w:tcW w:w="2439" w:type="dxa"/>
          </w:tcPr>
          <w:p w14:paraId="487DAB43" w14:textId="1A2149CD" w:rsidR="00AB26C2" w:rsidRDefault="00AC5FA8">
            <w:pPr>
              <w:spacing w:before="0" w:after="160" w:line="259" w:lineRule="auto"/>
            </w:pPr>
            <w:r w:rsidRPr="00AC5FA8">
              <w:t>Develop guidance material for public road-rail interface agreements to assist road and rail manager to implement these agreements</w:t>
            </w:r>
          </w:p>
        </w:tc>
        <w:tc>
          <w:tcPr>
            <w:tcW w:w="1532" w:type="dxa"/>
          </w:tcPr>
          <w:p w14:paraId="181FF3BF" w14:textId="32EB04E4" w:rsidR="00AB26C2" w:rsidRDefault="00AC5FA8">
            <w:pPr>
              <w:spacing w:before="0" w:after="160" w:line="259" w:lineRule="auto"/>
            </w:pPr>
            <w:r>
              <w:t>2024-2025</w:t>
            </w:r>
          </w:p>
        </w:tc>
        <w:tc>
          <w:tcPr>
            <w:tcW w:w="1844" w:type="dxa"/>
          </w:tcPr>
          <w:p w14:paraId="1CD6A807" w14:textId="0CAD1B15" w:rsidR="00AB26C2" w:rsidRDefault="00AC5FA8">
            <w:pPr>
              <w:spacing w:before="0" w:after="160" w:line="259" w:lineRule="auto"/>
            </w:pPr>
            <w:r>
              <w:t>Local Government Association of Queensland</w:t>
            </w:r>
          </w:p>
        </w:tc>
        <w:tc>
          <w:tcPr>
            <w:tcW w:w="1558" w:type="dxa"/>
          </w:tcPr>
          <w:p w14:paraId="66A130EB" w14:textId="77777777" w:rsidR="00AC5FA8" w:rsidRDefault="00AC5FA8" w:rsidP="00AC5FA8">
            <w:pPr>
              <w:spacing w:before="0" w:after="160" w:line="259" w:lineRule="auto"/>
            </w:pPr>
            <w:r>
              <w:t>Rail Infrastructure Managers</w:t>
            </w:r>
          </w:p>
          <w:p w14:paraId="71F8CC83" w14:textId="50DE83D5" w:rsidR="00AB26C2" w:rsidRDefault="00AC5FA8" w:rsidP="00AC5FA8">
            <w:pPr>
              <w:spacing w:before="0" w:after="160" w:line="259" w:lineRule="auto"/>
            </w:pPr>
            <w:r>
              <w:t>Road Managers</w:t>
            </w:r>
          </w:p>
        </w:tc>
        <w:tc>
          <w:tcPr>
            <w:tcW w:w="2268" w:type="dxa"/>
          </w:tcPr>
          <w:p w14:paraId="70CAB1BA" w14:textId="517B9DCE" w:rsidR="00AB26C2" w:rsidRDefault="00AC5FA8">
            <w:pPr>
              <w:spacing w:before="0" w:after="160" w:line="259" w:lineRule="auto"/>
            </w:pPr>
            <w:r>
              <w:t>Completion of guidance material</w:t>
            </w:r>
          </w:p>
        </w:tc>
      </w:tr>
      <w:tr w:rsidR="00AC5FA8" w14:paraId="3D09FDCB" w14:textId="77777777" w:rsidTr="00AC5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7" w:type="dxa"/>
          </w:tcPr>
          <w:p w14:paraId="4A5497AE" w14:textId="77777777" w:rsidR="00AB26C2" w:rsidRDefault="00AB26C2">
            <w:pPr>
              <w:spacing w:before="0" w:after="160" w:line="259" w:lineRule="auto"/>
            </w:pPr>
            <w:r>
              <w:lastRenderedPageBreak/>
              <w:t>5</w:t>
            </w:r>
          </w:p>
        </w:tc>
        <w:tc>
          <w:tcPr>
            <w:tcW w:w="2439" w:type="dxa"/>
          </w:tcPr>
          <w:p w14:paraId="2A4BCB93" w14:textId="1F166238" w:rsidR="00AB26C2" w:rsidRDefault="00AC5FA8">
            <w:pPr>
              <w:spacing w:before="0" w:after="160" w:line="259" w:lineRule="auto"/>
            </w:pPr>
            <w:r w:rsidRPr="00AC5FA8">
              <w:t>Actively manage and review road-rail public interface agreements</w:t>
            </w:r>
          </w:p>
        </w:tc>
        <w:tc>
          <w:tcPr>
            <w:tcW w:w="1532" w:type="dxa"/>
          </w:tcPr>
          <w:p w14:paraId="38CD8651" w14:textId="281FE4F2" w:rsidR="00AB26C2" w:rsidRDefault="00AC5FA8">
            <w:pPr>
              <w:spacing w:before="0" w:after="160" w:line="259" w:lineRule="auto"/>
            </w:pPr>
            <w:r>
              <w:t>Ongoing</w:t>
            </w:r>
          </w:p>
        </w:tc>
        <w:tc>
          <w:tcPr>
            <w:tcW w:w="1844" w:type="dxa"/>
          </w:tcPr>
          <w:p w14:paraId="1BE1D33C" w14:textId="77777777" w:rsidR="00AB26C2" w:rsidRDefault="00AC5FA8">
            <w:pPr>
              <w:spacing w:before="0" w:after="160" w:line="259" w:lineRule="auto"/>
            </w:pPr>
            <w:r>
              <w:t>Rail Infrastructure Managers</w:t>
            </w:r>
          </w:p>
          <w:p w14:paraId="3FA6A8F1" w14:textId="1FABC45D" w:rsidR="00AC5FA8" w:rsidRDefault="00AC5FA8">
            <w:pPr>
              <w:spacing w:before="0" w:after="160" w:line="259" w:lineRule="auto"/>
            </w:pPr>
            <w:r>
              <w:t>Road Managers</w:t>
            </w:r>
          </w:p>
        </w:tc>
        <w:tc>
          <w:tcPr>
            <w:tcW w:w="1558" w:type="dxa"/>
          </w:tcPr>
          <w:p w14:paraId="77AC0562" w14:textId="77777777" w:rsidR="00AB26C2" w:rsidRDefault="00AB26C2">
            <w:pPr>
              <w:spacing w:before="0" w:after="160" w:line="259" w:lineRule="auto"/>
            </w:pPr>
          </w:p>
        </w:tc>
        <w:tc>
          <w:tcPr>
            <w:tcW w:w="2268" w:type="dxa"/>
          </w:tcPr>
          <w:p w14:paraId="1D5766A8" w14:textId="3249CEBA" w:rsidR="00AB26C2" w:rsidRDefault="00AC5FA8">
            <w:pPr>
              <w:spacing w:before="0" w:after="160" w:line="259" w:lineRule="auto"/>
            </w:pPr>
            <w:r>
              <w:t>Interface Agreements are in place and managed</w:t>
            </w:r>
          </w:p>
        </w:tc>
      </w:tr>
    </w:tbl>
    <w:p w14:paraId="435A2884" w14:textId="77777777" w:rsidR="00AB26C2" w:rsidRDefault="00AB26C2">
      <w:pPr>
        <w:spacing w:before="0" w:after="160" w:line="259" w:lineRule="auto"/>
      </w:pPr>
      <w:r>
        <w:br w:type="page"/>
      </w:r>
    </w:p>
    <w:p w14:paraId="74D12CA3" w14:textId="038DCD6B" w:rsidR="00AB26C2" w:rsidRPr="005B5F23" w:rsidRDefault="00AC5FA8" w:rsidP="005B5F23">
      <w:pPr>
        <w:pStyle w:val="Heading1"/>
        <w:ind w:left="-709" w:right="-284"/>
        <w:rPr>
          <w:b/>
          <w:bCs/>
          <w:sz w:val="56"/>
          <w:szCs w:val="32"/>
        </w:rPr>
      </w:pPr>
      <w:r w:rsidRPr="005B5F23">
        <w:rPr>
          <w:b/>
          <w:bCs/>
          <w:sz w:val="56"/>
          <w:szCs w:val="32"/>
        </w:rPr>
        <w:lastRenderedPageBreak/>
        <w:t xml:space="preserve">Assets, </w:t>
      </w:r>
      <w:proofErr w:type="gramStart"/>
      <w:r w:rsidRPr="005B5F23">
        <w:rPr>
          <w:b/>
          <w:bCs/>
          <w:sz w:val="56"/>
          <w:szCs w:val="32"/>
        </w:rPr>
        <w:t>technology</w:t>
      </w:r>
      <w:proofErr w:type="gramEnd"/>
      <w:r w:rsidRPr="005B5F23">
        <w:rPr>
          <w:b/>
          <w:bCs/>
          <w:sz w:val="56"/>
          <w:szCs w:val="32"/>
        </w:rPr>
        <w:t xml:space="preserve"> and</w:t>
      </w:r>
      <w:r w:rsidR="005B5F23" w:rsidRPr="005B5F23">
        <w:rPr>
          <w:b/>
          <w:bCs/>
          <w:sz w:val="56"/>
          <w:szCs w:val="32"/>
        </w:rPr>
        <w:t xml:space="preserve"> </w:t>
      </w:r>
      <w:r w:rsidRPr="005B5F23">
        <w:rPr>
          <w:b/>
          <w:bCs/>
          <w:sz w:val="56"/>
          <w:szCs w:val="32"/>
        </w:rPr>
        <w:t>innovation</w:t>
      </w:r>
    </w:p>
    <w:tbl>
      <w:tblPr>
        <w:tblStyle w:val="TMRDefault"/>
        <w:tblW w:w="10348" w:type="dxa"/>
        <w:tblInd w:w="-562" w:type="dxa"/>
        <w:tblLook w:val="04A0" w:firstRow="1" w:lastRow="0" w:firstColumn="1" w:lastColumn="0" w:noHBand="0" w:noVBand="1"/>
      </w:tblPr>
      <w:tblGrid>
        <w:gridCol w:w="685"/>
        <w:gridCol w:w="2367"/>
        <w:gridCol w:w="1532"/>
        <w:gridCol w:w="1822"/>
        <w:gridCol w:w="1732"/>
        <w:gridCol w:w="2210"/>
      </w:tblGrid>
      <w:tr w:rsidR="00AC5FA8" w14:paraId="5C77EF47" w14:textId="77777777" w:rsidTr="00636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5" w:type="dxa"/>
          </w:tcPr>
          <w:p w14:paraId="135905F2" w14:textId="42274CFB" w:rsidR="00AC5FA8" w:rsidRPr="00AB26C2" w:rsidRDefault="00AC5FA8" w:rsidP="001905BB">
            <w:pPr>
              <w:spacing w:before="0" w:after="160" w:line="259" w:lineRule="auto"/>
              <w:rPr>
                <w:color w:val="FFFFFF" w:themeColor="background1"/>
              </w:rPr>
            </w:pPr>
          </w:p>
        </w:tc>
        <w:tc>
          <w:tcPr>
            <w:tcW w:w="2367" w:type="dxa"/>
          </w:tcPr>
          <w:p w14:paraId="5945CBD6" w14:textId="77777777" w:rsidR="00AC5FA8" w:rsidRPr="00AB26C2" w:rsidRDefault="00AC5FA8" w:rsidP="001905BB">
            <w:pPr>
              <w:spacing w:before="0" w:after="160" w:line="259" w:lineRule="auto"/>
              <w:rPr>
                <w:color w:val="FFFFFF" w:themeColor="background1"/>
              </w:rPr>
            </w:pPr>
            <w:r w:rsidRPr="00AB26C2">
              <w:rPr>
                <w:color w:val="FFFFFF" w:themeColor="background1"/>
              </w:rPr>
              <w:t>Key action</w:t>
            </w:r>
          </w:p>
        </w:tc>
        <w:tc>
          <w:tcPr>
            <w:tcW w:w="1532" w:type="dxa"/>
          </w:tcPr>
          <w:p w14:paraId="65A9B00D" w14:textId="77777777" w:rsidR="00AC5FA8" w:rsidRPr="00AB26C2" w:rsidRDefault="00AC5FA8" w:rsidP="001905BB">
            <w:pPr>
              <w:spacing w:before="0" w:after="160" w:line="259" w:lineRule="auto"/>
              <w:rPr>
                <w:color w:val="FFFFFF" w:themeColor="background1"/>
              </w:rPr>
            </w:pPr>
            <w:r w:rsidRPr="00AB26C2">
              <w:rPr>
                <w:color w:val="FFFFFF" w:themeColor="background1"/>
              </w:rPr>
              <w:t>Timeframe</w:t>
            </w:r>
          </w:p>
        </w:tc>
        <w:tc>
          <w:tcPr>
            <w:tcW w:w="1822" w:type="dxa"/>
          </w:tcPr>
          <w:p w14:paraId="39D3BE5C" w14:textId="77777777" w:rsidR="00AC5FA8" w:rsidRPr="00AB26C2" w:rsidRDefault="00AC5FA8" w:rsidP="001905BB">
            <w:pPr>
              <w:spacing w:before="0" w:after="160" w:line="259" w:lineRule="auto"/>
              <w:rPr>
                <w:color w:val="FFFFFF" w:themeColor="background1"/>
              </w:rPr>
            </w:pPr>
            <w:r w:rsidRPr="00AB26C2">
              <w:rPr>
                <w:color w:val="FFFFFF" w:themeColor="background1"/>
              </w:rPr>
              <w:t>Lead</w:t>
            </w:r>
          </w:p>
        </w:tc>
        <w:tc>
          <w:tcPr>
            <w:tcW w:w="1732" w:type="dxa"/>
          </w:tcPr>
          <w:p w14:paraId="0B3AAEE2" w14:textId="77777777" w:rsidR="00AC5FA8" w:rsidRPr="00AB26C2" w:rsidRDefault="00AC5FA8" w:rsidP="001905BB">
            <w:pPr>
              <w:spacing w:before="0" w:after="160" w:line="259" w:lineRule="auto"/>
              <w:rPr>
                <w:color w:val="FFFFFF" w:themeColor="background1"/>
              </w:rPr>
            </w:pPr>
            <w:r w:rsidRPr="00AB26C2">
              <w:rPr>
                <w:color w:val="FFFFFF" w:themeColor="background1"/>
              </w:rPr>
              <w:t>Key supporters</w:t>
            </w:r>
          </w:p>
        </w:tc>
        <w:tc>
          <w:tcPr>
            <w:tcW w:w="2210" w:type="dxa"/>
          </w:tcPr>
          <w:p w14:paraId="6553D74F" w14:textId="77777777" w:rsidR="00AC5FA8" w:rsidRPr="00AB26C2" w:rsidRDefault="00AC5FA8" w:rsidP="001905BB">
            <w:pPr>
              <w:spacing w:before="0" w:after="160" w:line="259" w:lineRule="auto"/>
              <w:rPr>
                <w:color w:val="FFFFFF" w:themeColor="background1"/>
              </w:rPr>
            </w:pPr>
            <w:r w:rsidRPr="00AB26C2">
              <w:rPr>
                <w:color w:val="FFFFFF" w:themeColor="background1"/>
              </w:rPr>
              <w:t>Success measure</w:t>
            </w:r>
          </w:p>
        </w:tc>
      </w:tr>
      <w:tr w:rsidR="00AC5FA8" w14:paraId="4786DBF3" w14:textId="77777777" w:rsidTr="00636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5" w:type="dxa"/>
          </w:tcPr>
          <w:p w14:paraId="3322D3DE" w14:textId="2B1D9F6F" w:rsidR="00AC5FA8" w:rsidRDefault="00AC5FA8" w:rsidP="001905BB">
            <w:pPr>
              <w:spacing w:before="0" w:after="160" w:line="259" w:lineRule="auto"/>
            </w:pPr>
            <w:r>
              <w:t>6</w:t>
            </w:r>
          </w:p>
        </w:tc>
        <w:tc>
          <w:tcPr>
            <w:tcW w:w="2367" w:type="dxa"/>
          </w:tcPr>
          <w:p w14:paraId="5A26BA19" w14:textId="78F5FB18" w:rsidR="00AC5FA8" w:rsidRDefault="00AC5FA8" w:rsidP="001905BB">
            <w:pPr>
              <w:spacing w:before="0" w:after="160" w:line="259" w:lineRule="auto"/>
            </w:pPr>
            <w:r w:rsidRPr="00AC5FA8">
              <w:t xml:space="preserve">Delivery of </w:t>
            </w:r>
            <w:proofErr w:type="gramStart"/>
            <w:r w:rsidRPr="00AC5FA8">
              <w:t>South East</w:t>
            </w:r>
            <w:proofErr w:type="gramEnd"/>
            <w:r w:rsidRPr="00AC5FA8">
              <w:t xml:space="preserve"> Queensland Level Crossing Program 2024</w:t>
            </w:r>
          </w:p>
        </w:tc>
        <w:tc>
          <w:tcPr>
            <w:tcW w:w="1532" w:type="dxa"/>
          </w:tcPr>
          <w:p w14:paraId="1ABE31BE" w14:textId="5DFFDFDB" w:rsidR="00AC5FA8" w:rsidRDefault="00AC5FA8" w:rsidP="001905BB">
            <w:pPr>
              <w:spacing w:before="0" w:after="160" w:line="259" w:lineRule="auto"/>
            </w:pPr>
            <w:r>
              <w:t>2024 onwards</w:t>
            </w:r>
          </w:p>
        </w:tc>
        <w:tc>
          <w:tcPr>
            <w:tcW w:w="1822" w:type="dxa"/>
          </w:tcPr>
          <w:p w14:paraId="0D8705A4" w14:textId="433D8149" w:rsidR="00AC5FA8" w:rsidRDefault="00AC5FA8" w:rsidP="001905BB">
            <w:pPr>
              <w:spacing w:before="0" w:after="160" w:line="259" w:lineRule="auto"/>
            </w:pPr>
            <w:r>
              <w:t>Transport and Main Roads</w:t>
            </w:r>
          </w:p>
        </w:tc>
        <w:tc>
          <w:tcPr>
            <w:tcW w:w="1732" w:type="dxa"/>
          </w:tcPr>
          <w:p w14:paraId="138C293F" w14:textId="77777777" w:rsidR="00AC5FA8" w:rsidRDefault="00AC5FA8" w:rsidP="001905BB">
            <w:pPr>
              <w:spacing w:before="0" w:after="160" w:line="259" w:lineRule="auto"/>
            </w:pPr>
            <w:r>
              <w:t>Rail Infrastructure Managers</w:t>
            </w:r>
          </w:p>
          <w:p w14:paraId="0FF02039" w14:textId="01E5F84E" w:rsidR="00AC5FA8" w:rsidRDefault="00AC5FA8" w:rsidP="001905BB">
            <w:pPr>
              <w:spacing w:before="0" w:after="160" w:line="259" w:lineRule="auto"/>
            </w:pPr>
            <w:r>
              <w:t>Road Managers</w:t>
            </w:r>
          </w:p>
        </w:tc>
        <w:tc>
          <w:tcPr>
            <w:tcW w:w="2210" w:type="dxa"/>
          </w:tcPr>
          <w:p w14:paraId="0A10F4AA" w14:textId="7FACDEE6" w:rsidR="00AC5FA8" w:rsidRDefault="00AC5FA8" w:rsidP="001905BB">
            <w:pPr>
              <w:spacing w:before="0" w:after="160" w:line="259" w:lineRule="auto"/>
            </w:pPr>
            <w:r w:rsidRPr="00AC5FA8">
              <w:t xml:space="preserve">As </w:t>
            </w:r>
            <w:proofErr w:type="spellStart"/>
            <w:r w:rsidRPr="00AC5FA8">
              <w:t>identifed</w:t>
            </w:r>
            <w:proofErr w:type="spellEnd"/>
            <w:r w:rsidRPr="00AC5FA8">
              <w:t xml:space="preserve"> in the Program, delivery of level crossing upgrade projects and </w:t>
            </w:r>
            <w:proofErr w:type="spellStart"/>
            <w:r w:rsidRPr="00AC5FA8">
              <w:t>identifcation</w:t>
            </w:r>
            <w:proofErr w:type="spellEnd"/>
            <w:r w:rsidRPr="00AC5FA8">
              <w:t xml:space="preserve"> of high priority level crossings for further detailed investigation</w:t>
            </w:r>
          </w:p>
        </w:tc>
      </w:tr>
      <w:tr w:rsidR="00AC5FA8" w14:paraId="481F5853" w14:textId="77777777" w:rsidTr="00636886">
        <w:tc>
          <w:tcPr>
            <w:tcW w:w="685" w:type="dxa"/>
          </w:tcPr>
          <w:p w14:paraId="1BB0C9FA" w14:textId="2E4086A8" w:rsidR="00AC5FA8" w:rsidRDefault="00AC5FA8" w:rsidP="001905BB">
            <w:pPr>
              <w:spacing w:before="0" w:after="160" w:line="259" w:lineRule="auto"/>
            </w:pPr>
            <w:r>
              <w:t>7</w:t>
            </w:r>
          </w:p>
        </w:tc>
        <w:tc>
          <w:tcPr>
            <w:tcW w:w="2367" w:type="dxa"/>
          </w:tcPr>
          <w:p w14:paraId="68414759" w14:textId="5DE2CEF4" w:rsidR="00AC5FA8" w:rsidRDefault="00AC5FA8" w:rsidP="001905BB">
            <w:pPr>
              <w:spacing w:before="0" w:after="160" w:line="259" w:lineRule="auto"/>
            </w:pPr>
            <w:r w:rsidRPr="00AC5FA8">
              <w:t xml:space="preserve">Investigate options to create a level crossing database which includes both heavy rail and cane rail level crossings, with a view to publishing this information via the Cooperative-Intelligent Transport Systems cloud access point </w:t>
            </w:r>
            <w:proofErr w:type="gramStart"/>
            <w:r w:rsidRPr="00AC5FA8">
              <w:t>in order to</w:t>
            </w:r>
            <w:proofErr w:type="gramEnd"/>
            <w:r w:rsidRPr="00AC5FA8">
              <w:t xml:space="preserve"> support connected vehicles</w:t>
            </w:r>
          </w:p>
        </w:tc>
        <w:tc>
          <w:tcPr>
            <w:tcW w:w="1532" w:type="dxa"/>
          </w:tcPr>
          <w:p w14:paraId="2B5AFEC5" w14:textId="4BF4D28F" w:rsidR="00AC5FA8" w:rsidRDefault="00CA60F5" w:rsidP="001905BB">
            <w:pPr>
              <w:spacing w:before="0" w:after="160" w:line="259" w:lineRule="auto"/>
            </w:pPr>
            <w:r>
              <w:t>2024 onwards</w:t>
            </w:r>
          </w:p>
        </w:tc>
        <w:tc>
          <w:tcPr>
            <w:tcW w:w="1822" w:type="dxa"/>
          </w:tcPr>
          <w:p w14:paraId="5CEC9272" w14:textId="6EF83754" w:rsidR="00AC5FA8" w:rsidRDefault="00CA60F5" w:rsidP="001905BB">
            <w:pPr>
              <w:spacing w:before="0" w:after="160" w:line="259" w:lineRule="auto"/>
            </w:pPr>
            <w:r>
              <w:t>Transport and Main Roads</w:t>
            </w:r>
          </w:p>
        </w:tc>
        <w:tc>
          <w:tcPr>
            <w:tcW w:w="1732" w:type="dxa"/>
          </w:tcPr>
          <w:p w14:paraId="6207C512" w14:textId="77777777" w:rsidR="00AC5FA8" w:rsidRDefault="00CA60F5" w:rsidP="001905BB">
            <w:pPr>
              <w:spacing w:before="0" w:after="160" w:line="259" w:lineRule="auto"/>
            </w:pPr>
            <w:r>
              <w:t>Rail Infrastructure Managers</w:t>
            </w:r>
          </w:p>
          <w:p w14:paraId="76C18D30" w14:textId="289A0A3E" w:rsidR="00CA60F5" w:rsidRDefault="00CA60F5" w:rsidP="001905BB">
            <w:pPr>
              <w:spacing w:before="0" w:after="160" w:line="259" w:lineRule="auto"/>
            </w:pPr>
            <w:r>
              <w:t>Road Managers</w:t>
            </w:r>
          </w:p>
        </w:tc>
        <w:tc>
          <w:tcPr>
            <w:tcW w:w="2210" w:type="dxa"/>
          </w:tcPr>
          <w:p w14:paraId="7A527354" w14:textId="1104834D" w:rsidR="00AC5FA8" w:rsidRDefault="00CA60F5" w:rsidP="001905BB">
            <w:pPr>
              <w:spacing w:before="0" w:after="160" w:line="259" w:lineRule="auto"/>
            </w:pPr>
            <w:r>
              <w:t>Level crossing database feasibility assessed</w:t>
            </w:r>
          </w:p>
        </w:tc>
      </w:tr>
      <w:tr w:rsidR="00AC5FA8" w14:paraId="1F8B8670" w14:textId="77777777" w:rsidTr="00636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5" w:type="dxa"/>
          </w:tcPr>
          <w:p w14:paraId="758C36E6" w14:textId="0806FCE1" w:rsidR="00AC5FA8" w:rsidRDefault="00AC5FA8" w:rsidP="001905BB">
            <w:pPr>
              <w:spacing w:before="0" w:after="160" w:line="259" w:lineRule="auto"/>
            </w:pPr>
            <w:r>
              <w:t>8</w:t>
            </w:r>
          </w:p>
        </w:tc>
        <w:tc>
          <w:tcPr>
            <w:tcW w:w="2367" w:type="dxa"/>
          </w:tcPr>
          <w:p w14:paraId="1F231216" w14:textId="7A02D9B4" w:rsidR="00AC5FA8" w:rsidRPr="00CA60F5" w:rsidRDefault="00CA60F5" w:rsidP="00CA60F5">
            <w:pPr>
              <w:pStyle w:val="Default"/>
              <w:rPr>
                <w:rFonts w:ascii="Arial" w:hAnsi="Arial" w:cstheme="minorBidi"/>
                <w:color w:val="18242E" w:themeColor="text1" w:themeTint="E6"/>
                <w:szCs w:val="22"/>
              </w:rPr>
            </w:pPr>
            <w:r w:rsidRPr="00CA60F5">
              <w:rPr>
                <w:rFonts w:ascii="Arial" w:hAnsi="Arial" w:cstheme="minorBidi"/>
                <w:color w:val="18242E" w:themeColor="text1" w:themeTint="E6"/>
                <w:szCs w:val="22"/>
              </w:rPr>
              <w:t>Improve guidance material for road managers as provided in Part 7: Railway crossings of the Manual of Uniform Traf</w:t>
            </w:r>
            <w:r>
              <w:rPr>
                <w:rFonts w:ascii="Arial" w:hAnsi="Arial" w:cstheme="minorBidi"/>
                <w:color w:val="18242E" w:themeColor="text1" w:themeTint="E6"/>
                <w:szCs w:val="22"/>
              </w:rPr>
              <w:t xml:space="preserve">fic </w:t>
            </w:r>
            <w:r w:rsidRPr="00CA60F5">
              <w:rPr>
                <w:rFonts w:ascii="Arial" w:hAnsi="Arial" w:cstheme="minorBidi"/>
                <w:color w:val="18242E" w:themeColor="text1" w:themeTint="E6"/>
                <w:szCs w:val="22"/>
              </w:rPr>
              <w:t xml:space="preserve">Control Devices </w:t>
            </w:r>
          </w:p>
        </w:tc>
        <w:tc>
          <w:tcPr>
            <w:tcW w:w="1532" w:type="dxa"/>
          </w:tcPr>
          <w:p w14:paraId="1F79ABA3" w14:textId="6F8A6C85" w:rsidR="00AC5FA8" w:rsidRDefault="00CA60F5" w:rsidP="001905BB">
            <w:pPr>
              <w:spacing w:before="0" w:after="160" w:line="259" w:lineRule="auto"/>
            </w:pPr>
            <w:r>
              <w:t>2025-2026</w:t>
            </w:r>
          </w:p>
        </w:tc>
        <w:tc>
          <w:tcPr>
            <w:tcW w:w="1822" w:type="dxa"/>
          </w:tcPr>
          <w:p w14:paraId="19BA574C" w14:textId="6B9A29BE" w:rsidR="00AC5FA8" w:rsidRDefault="00CA60F5" w:rsidP="001905BB">
            <w:pPr>
              <w:spacing w:before="0" w:after="160" w:line="259" w:lineRule="auto"/>
            </w:pPr>
            <w:r>
              <w:t>Local Government Association of Queensland</w:t>
            </w:r>
          </w:p>
        </w:tc>
        <w:tc>
          <w:tcPr>
            <w:tcW w:w="1732" w:type="dxa"/>
          </w:tcPr>
          <w:p w14:paraId="3C7CD6E7" w14:textId="77777777" w:rsidR="00AC5FA8" w:rsidRDefault="00CA60F5" w:rsidP="001905BB">
            <w:pPr>
              <w:spacing w:before="0" w:after="160" w:line="259" w:lineRule="auto"/>
            </w:pPr>
            <w:r>
              <w:t>Transport and Main Roads</w:t>
            </w:r>
          </w:p>
          <w:p w14:paraId="6C6DEE1A" w14:textId="77777777" w:rsidR="00CA60F5" w:rsidRDefault="00CA60F5" w:rsidP="001905BB">
            <w:pPr>
              <w:spacing w:before="0" w:after="160" w:line="259" w:lineRule="auto"/>
            </w:pPr>
            <w:r>
              <w:t>Other Road Managers</w:t>
            </w:r>
          </w:p>
          <w:p w14:paraId="34C98768" w14:textId="06BD79C6" w:rsidR="00CA60F5" w:rsidRDefault="00CA60F5" w:rsidP="001905BB">
            <w:pPr>
              <w:spacing w:before="0" w:after="160" w:line="259" w:lineRule="auto"/>
            </w:pPr>
            <w:r>
              <w:t>Rail Infrastructure Managers</w:t>
            </w:r>
          </w:p>
        </w:tc>
        <w:tc>
          <w:tcPr>
            <w:tcW w:w="2210" w:type="dxa"/>
          </w:tcPr>
          <w:p w14:paraId="325C71EE" w14:textId="1F7FE7A1" w:rsidR="00AC5FA8" w:rsidRDefault="00CA60F5" w:rsidP="001905BB">
            <w:pPr>
              <w:spacing w:before="0" w:after="160" w:line="259" w:lineRule="auto"/>
            </w:pPr>
            <w:r>
              <w:t>Review undertaken and guidance material updated</w:t>
            </w:r>
          </w:p>
        </w:tc>
      </w:tr>
    </w:tbl>
    <w:p w14:paraId="7071802F" w14:textId="4D4F89DA" w:rsidR="00CA60F5" w:rsidRDefault="00CA60F5">
      <w:pPr>
        <w:spacing w:before="0" w:after="160" w:line="259" w:lineRule="auto"/>
      </w:pPr>
      <w:r>
        <w:br w:type="page"/>
      </w:r>
    </w:p>
    <w:p w14:paraId="18AF66FB" w14:textId="1554BB23" w:rsidR="00CA60F5" w:rsidRPr="00CA60F5" w:rsidRDefault="00CA60F5" w:rsidP="005B5F23">
      <w:pPr>
        <w:pStyle w:val="Heading1"/>
        <w:ind w:left="-567"/>
      </w:pPr>
      <w:r w:rsidRPr="005B5F23">
        <w:rPr>
          <w:b/>
          <w:bCs/>
          <w:sz w:val="56"/>
          <w:szCs w:val="32"/>
        </w:rPr>
        <w:lastRenderedPageBreak/>
        <w:t>Data improvement and knowledge management</w:t>
      </w:r>
    </w:p>
    <w:tbl>
      <w:tblPr>
        <w:tblStyle w:val="TMRDefault"/>
        <w:tblW w:w="10348" w:type="dxa"/>
        <w:tblInd w:w="-567" w:type="dxa"/>
        <w:tblLook w:val="04A0" w:firstRow="1" w:lastRow="0" w:firstColumn="1" w:lastColumn="0" w:noHBand="0" w:noVBand="1"/>
      </w:tblPr>
      <w:tblGrid>
        <w:gridCol w:w="707"/>
        <w:gridCol w:w="2433"/>
        <w:gridCol w:w="1532"/>
        <w:gridCol w:w="1840"/>
        <w:gridCol w:w="1572"/>
        <w:gridCol w:w="2264"/>
      </w:tblGrid>
      <w:tr w:rsidR="00CA60F5" w14:paraId="72A52AD5" w14:textId="77777777" w:rsidTr="00190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7" w:type="dxa"/>
          </w:tcPr>
          <w:p w14:paraId="021FB250" w14:textId="4E37A08E" w:rsidR="00CA60F5" w:rsidRPr="00AB26C2" w:rsidRDefault="00CA60F5" w:rsidP="001905BB">
            <w:pPr>
              <w:spacing w:before="0" w:after="160" w:line="259" w:lineRule="auto"/>
              <w:rPr>
                <w:color w:val="FFFFFF" w:themeColor="background1"/>
              </w:rPr>
            </w:pPr>
          </w:p>
        </w:tc>
        <w:tc>
          <w:tcPr>
            <w:tcW w:w="2433" w:type="dxa"/>
          </w:tcPr>
          <w:p w14:paraId="150845DC" w14:textId="77777777" w:rsidR="00CA60F5" w:rsidRPr="00AB26C2" w:rsidRDefault="00CA60F5" w:rsidP="001905BB">
            <w:pPr>
              <w:spacing w:before="0" w:after="160" w:line="259" w:lineRule="auto"/>
              <w:rPr>
                <w:color w:val="FFFFFF" w:themeColor="background1"/>
              </w:rPr>
            </w:pPr>
            <w:r w:rsidRPr="00AB26C2">
              <w:rPr>
                <w:color w:val="FFFFFF" w:themeColor="background1"/>
              </w:rPr>
              <w:t>Key action</w:t>
            </w:r>
          </w:p>
        </w:tc>
        <w:tc>
          <w:tcPr>
            <w:tcW w:w="1532" w:type="dxa"/>
          </w:tcPr>
          <w:p w14:paraId="796CD57F" w14:textId="77777777" w:rsidR="00CA60F5" w:rsidRPr="00AB26C2" w:rsidRDefault="00CA60F5" w:rsidP="001905BB">
            <w:pPr>
              <w:spacing w:before="0" w:after="160" w:line="259" w:lineRule="auto"/>
              <w:rPr>
                <w:color w:val="FFFFFF" w:themeColor="background1"/>
              </w:rPr>
            </w:pPr>
            <w:r w:rsidRPr="00AB26C2">
              <w:rPr>
                <w:color w:val="FFFFFF" w:themeColor="background1"/>
              </w:rPr>
              <w:t>Timeframe</w:t>
            </w:r>
          </w:p>
        </w:tc>
        <w:tc>
          <w:tcPr>
            <w:tcW w:w="1840" w:type="dxa"/>
          </w:tcPr>
          <w:p w14:paraId="5F477267" w14:textId="77777777" w:rsidR="00CA60F5" w:rsidRPr="00AB26C2" w:rsidRDefault="00CA60F5" w:rsidP="001905BB">
            <w:pPr>
              <w:spacing w:before="0" w:after="160" w:line="259" w:lineRule="auto"/>
              <w:rPr>
                <w:color w:val="FFFFFF" w:themeColor="background1"/>
              </w:rPr>
            </w:pPr>
            <w:r w:rsidRPr="00AB26C2">
              <w:rPr>
                <w:color w:val="FFFFFF" w:themeColor="background1"/>
              </w:rPr>
              <w:t>Lead</w:t>
            </w:r>
          </w:p>
        </w:tc>
        <w:tc>
          <w:tcPr>
            <w:tcW w:w="1572" w:type="dxa"/>
          </w:tcPr>
          <w:p w14:paraId="52FCD0A1" w14:textId="77777777" w:rsidR="00CA60F5" w:rsidRPr="00AB26C2" w:rsidRDefault="00CA60F5" w:rsidP="001905BB">
            <w:pPr>
              <w:spacing w:before="0" w:after="160" w:line="259" w:lineRule="auto"/>
              <w:rPr>
                <w:color w:val="FFFFFF" w:themeColor="background1"/>
              </w:rPr>
            </w:pPr>
            <w:r w:rsidRPr="00AB26C2">
              <w:rPr>
                <w:color w:val="FFFFFF" w:themeColor="background1"/>
              </w:rPr>
              <w:t>Key supporters</w:t>
            </w:r>
          </w:p>
        </w:tc>
        <w:tc>
          <w:tcPr>
            <w:tcW w:w="2264" w:type="dxa"/>
          </w:tcPr>
          <w:p w14:paraId="47DC89F4" w14:textId="77777777" w:rsidR="00CA60F5" w:rsidRPr="00AB26C2" w:rsidRDefault="00CA60F5" w:rsidP="001905BB">
            <w:pPr>
              <w:spacing w:before="0" w:after="160" w:line="259" w:lineRule="auto"/>
              <w:rPr>
                <w:color w:val="FFFFFF" w:themeColor="background1"/>
              </w:rPr>
            </w:pPr>
            <w:r w:rsidRPr="00AB26C2">
              <w:rPr>
                <w:color w:val="FFFFFF" w:themeColor="background1"/>
              </w:rPr>
              <w:t>Success measure</w:t>
            </w:r>
          </w:p>
        </w:tc>
      </w:tr>
      <w:tr w:rsidR="00CA60F5" w14:paraId="7582700D" w14:textId="77777777" w:rsidTr="00190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7" w:type="dxa"/>
          </w:tcPr>
          <w:p w14:paraId="45691B60" w14:textId="4E2EB3F0" w:rsidR="00CA60F5" w:rsidRDefault="00CA60F5" w:rsidP="001905BB">
            <w:pPr>
              <w:spacing w:before="0" w:after="160" w:line="259" w:lineRule="auto"/>
            </w:pPr>
            <w:r>
              <w:t>9</w:t>
            </w:r>
          </w:p>
        </w:tc>
        <w:tc>
          <w:tcPr>
            <w:tcW w:w="2433" w:type="dxa"/>
          </w:tcPr>
          <w:p w14:paraId="6C4BFE39" w14:textId="566D27F7" w:rsidR="00CA60F5" w:rsidRDefault="00CA60F5" w:rsidP="001905BB">
            <w:pPr>
              <w:spacing w:before="0" w:after="160" w:line="259" w:lineRule="auto"/>
            </w:pPr>
            <w:r w:rsidRPr="00CA60F5">
              <w:t>Participate in level crossing safety research led by the National Transport Research Organisation and monitor other level crossing contemporary research and innovation</w:t>
            </w:r>
          </w:p>
        </w:tc>
        <w:tc>
          <w:tcPr>
            <w:tcW w:w="1532" w:type="dxa"/>
          </w:tcPr>
          <w:p w14:paraId="3A64D46F" w14:textId="518CED44" w:rsidR="00CA60F5" w:rsidRDefault="00CA60F5" w:rsidP="001905BB">
            <w:pPr>
              <w:spacing w:before="0" w:after="160" w:line="259" w:lineRule="auto"/>
            </w:pPr>
            <w:r>
              <w:t>Ongoing</w:t>
            </w:r>
          </w:p>
        </w:tc>
        <w:tc>
          <w:tcPr>
            <w:tcW w:w="1840" w:type="dxa"/>
          </w:tcPr>
          <w:p w14:paraId="5389A73E" w14:textId="77777777" w:rsidR="00CA60F5" w:rsidRDefault="00CA60F5" w:rsidP="001905BB">
            <w:pPr>
              <w:spacing w:before="0" w:after="160" w:line="259" w:lineRule="auto"/>
            </w:pPr>
            <w:r>
              <w:t>Transport and Main Roads</w:t>
            </w:r>
          </w:p>
          <w:p w14:paraId="49366663" w14:textId="62B2AB5A" w:rsidR="00CA60F5" w:rsidRDefault="00CA60F5" w:rsidP="001905BB">
            <w:pPr>
              <w:spacing w:before="0" w:after="160" w:line="259" w:lineRule="auto"/>
            </w:pPr>
            <w:r>
              <w:t>Queensland Rail</w:t>
            </w:r>
          </w:p>
        </w:tc>
        <w:tc>
          <w:tcPr>
            <w:tcW w:w="1572" w:type="dxa"/>
          </w:tcPr>
          <w:p w14:paraId="50F5E576" w14:textId="70BBB736" w:rsidR="00CA60F5" w:rsidRDefault="00CA60F5" w:rsidP="001905BB">
            <w:pPr>
              <w:spacing w:before="0" w:after="160" w:line="259" w:lineRule="auto"/>
            </w:pPr>
            <w:r>
              <w:t>All members</w:t>
            </w:r>
          </w:p>
        </w:tc>
        <w:tc>
          <w:tcPr>
            <w:tcW w:w="2264" w:type="dxa"/>
          </w:tcPr>
          <w:p w14:paraId="34D58D90" w14:textId="77777777" w:rsidR="00CA60F5" w:rsidRDefault="00CA60F5" w:rsidP="001905BB">
            <w:pPr>
              <w:spacing w:before="0" w:after="160" w:line="259" w:lineRule="auto"/>
            </w:pPr>
            <w:r>
              <w:t>Member of the National Transport Research Organisation Collaborative Rail Priorities Forum</w:t>
            </w:r>
          </w:p>
          <w:p w14:paraId="0470C6AC" w14:textId="7CF83CBA" w:rsidR="00CA60F5" w:rsidRDefault="00CA60F5" w:rsidP="001905BB">
            <w:pPr>
              <w:spacing w:before="0" w:after="160" w:line="259" w:lineRule="auto"/>
            </w:pPr>
            <w:r>
              <w:t>Dissemination of National Transport Research Organisation and contemporary research and innovation findings to relevant stakeholders</w:t>
            </w:r>
          </w:p>
        </w:tc>
      </w:tr>
      <w:tr w:rsidR="00CA60F5" w14:paraId="08A6289D" w14:textId="77777777" w:rsidTr="001905BB">
        <w:tc>
          <w:tcPr>
            <w:tcW w:w="707" w:type="dxa"/>
          </w:tcPr>
          <w:p w14:paraId="28118C13" w14:textId="58C6AA6C" w:rsidR="00CA60F5" w:rsidRDefault="00CA60F5" w:rsidP="001905BB">
            <w:pPr>
              <w:spacing w:before="0" w:after="160" w:line="259" w:lineRule="auto"/>
            </w:pPr>
            <w:r>
              <w:t>10</w:t>
            </w:r>
          </w:p>
        </w:tc>
        <w:tc>
          <w:tcPr>
            <w:tcW w:w="2433" w:type="dxa"/>
          </w:tcPr>
          <w:p w14:paraId="4437775D" w14:textId="0124BADC" w:rsidR="00CA60F5" w:rsidRDefault="00130383" w:rsidP="001905BB">
            <w:pPr>
              <w:spacing w:before="0" w:after="160" w:line="259" w:lineRule="auto"/>
            </w:pPr>
            <w:r w:rsidRPr="00130383">
              <w:t xml:space="preserve">Participate in the National Level Crossing Portal data improvement project led by the </w:t>
            </w:r>
            <w:proofErr w:type="spellStart"/>
            <w:r w:rsidRPr="00130383">
              <w:t>Ofce</w:t>
            </w:r>
            <w:proofErr w:type="spellEnd"/>
            <w:r w:rsidRPr="00130383">
              <w:t xml:space="preserve"> of the National Rail Safety Regulator</w:t>
            </w:r>
          </w:p>
        </w:tc>
        <w:tc>
          <w:tcPr>
            <w:tcW w:w="1532" w:type="dxa"/>
          </w:tcPr>
          <w:p w14:paraId="1EEB090C" w14:textId="6770423B" w:rsidR="00CA60F5" w:rsidRDefault="00130383" w:rsidP="001905BB">
            <w:pPr>
              <w:spacing w:before="0" w:after="160" w:line="259" w:lineRule="auto"/>
            </w:pPr>
            <w:r>
              <w:t>2024 onwards</w:t>
            </w:r>
          </w:p>
        </w:tc>
        <w:tc>
          <w:tcPr>
            <w:tcW w:w="1840" w:type="dxa"/>
          </w:tcPr>
          <w:p w14:paraId="39C6D82B" w14:textId="1DA2AA6A" w:rsidR="00CA60F5" w:rsidRDefault="00130383" w:rsidP="001905BB">
            <w:pPr>
              <w:spacing w:before="0" w:after="160" w:line="259" w:lineRule="auto"/>
            </w:pPr>
            <w:r>
              <w:t>Transport and Main Roads</w:t>
            </w:r>
          </w:p>
        </w:tc>
        <w:tc>
          <w:tcPr>
            <w:tcW w:w="1572" w:type="dxa"/>
          </w:tcPr>
          <w:p w14:paraId="1ED7CEB1" w14:textId="3F1151A3" w:rsidR="00CA60F5" w:rsidRDefault="00130383" w:rsidP="001905BB">
            <w:pPr>
              <w:spacing w:before="0" w:after="160" w:line="259" w:lineRule="auto"/>
            </w:pPr>
            <w:r>
              <w:t>All members</w:t>
            </w:r>
          </w:p>
        </w:tc>
        <w:tc>
          <w:tcPr>
            <w:tcW w:w="2264" w:type="dxa"/>
          </w:tcPr>
          <w:p w14:paraId="58211818" w14:textId="5321FE33" w:rsidR="00CA60F5" w:rsidRDefault="00130383" w:rsidP="001905BB">
            <w:pPr>
              <w:spacing w:before="0" w:after="160" w:line="259" w:lineRule="auto"/>
            </w:pPr>
            <w:r>
              <w:t>Active participation in the data improvement project</w:t>
            </w:r>
          </w:p>
        </w:tc>
      </w:tr>
      <w:tr w:rsidR="00CA60F5" w14:paraId="02984025" w14:textId="77777777" w:rsidTr="00190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7" w:type="dxa"/>
          </w:tcPr>
          <w:p w14:paraId="6970C4FB" w14:textId="3261872A" w:rsidR="00CA60F5" w:rsidRDefault="00CA60F5" w:rsidP="001905BB">
            <w:pPr>
              <w:spacing w:before="0" w:after="160" w:line="259" w:lineRule="auto"/>
            </w:pPr>
            <w:r>
              <w:t>11</w:t>
            </w:r>
          </w:p>
        </w:tc>
        <w:tc>
          <w:tcPr>
            <w:tcW w:w="2433" w:type="dxa"/>
          </w:tcPr>
          <w:p w14:paraId="2641C8FF" w14:textId="62171E14" w:rsidR="00CA60F5" w:rsidRPr="00CA60F5" w:rsidRDefault="00C31CA4" w:rsidP="001905BB">
            <w:pPr>
              <w:pStyle w:val="Default"/>
              <w:rPr>
                <w:rFonts w:ascii="Arial" w:hAnsi="Arial" w:cstheme="minorBidi"/>
                <w:color w:val="18242E" w:themeColor="text1" w:themeTint="E6"/>
                <w:szCs w:val="22"/>
              </w:rPr>
            </w:pPr>
            <w:r w:rsidRPr="00C31CA4">
              <w:rPr>
                <w:rFonts w:ascii="Arial" w:hAnsi="Arial" w:cstheme="minorBidi"/>
                <w:color w:val="18242E" w:themeColor="text1" w:themeTint="E6"/>
                <w:szCs w:val="22"/>
              </w:rPr>
              <w:t xml:space="preserve">Review level crossing data trends, level crossing investigation outcomes by the Australian Transport Safety </w:t>
            </w:r>
            <w:r w:rsidRPr="00C31CA4">
              <w:rPr>
                <w:rFonts w:ascii="Arial" w:hAnsi="Arial" w:cstheme="minorBidi"/>
                <w:color w:val="18242E" w:themeColor="text1" w:themeTint="E6"/>
                <w:szCs w:val="22"/>
              </w:rPr>
              <w:lastRenderedPageBreak/>
              <w:t>Bureau and information shares by the Of</w:t>
            </w:r>
            <w:r>
              <w:rPr>
                <w:rFonts w:ascii="Arial" w:hAnsi="Arial" w:cstheme="minorBidi"/>
                <w:color w:val="18242E" w:themeColor="text1" w:themeTint="E6"/>
                <w:szCs w:val="22"/>
              </w:rPr>
              <w:t>fi</w:t>
            </w:r>
            <w:r w:rsidRPr="00C31CA4">
              <w:rPr>
                <w:rFonts w:ascii="Arial" w:hAnsi="Arial" w:cstheme="minorBidi"/>
                <w:color w:val="18242E" w:themeColor="text1" w:themeTint="E6"/>
                <w:szCs w:val="22"/>
              </w:rPr>
              <w:t>ce of the National Rail Safety Regulator and the National Level Crossing Safety Committee</w:t>
            </w:r>
          </w:p>
        </w:tc>
        <w:tc>
          <w:tcPr>
            <w:tcW w:w="1532" w:type="dxa"/>
          </w:tcPr>
          <w:p w14:paraId="44C8A31F" w14:textId="6ACE644C" w:rsidR="00CA60F5" w:rsidRDefault="00C31CA4" w:rsidP="001905BB">
            <w:pPr>
              <w:spacing w:before="0" w:after="160" w:line="259" w:lineRule="auto"/>
            </w:pPr>
            <w:r>
              <w:lastRenderedPageBreak/>
              <w:t>Ongoing</w:t>
            </w:r>
          </w:p>
        </w:tc>
        <w:tc>
          <w:tcPr>
            <w:tcW w:w="1840" w:type="dxa"/>
          </w:tcPr>
          <w:p w14:paraId="6026B6D9" w14:textId="17435AFF" w:rsidR="00CA60F5" w:rsidRDefault="00C31CA4" w:rsidP="001905BB">
            <w:pPr>
              <w:spacing w:before="0" w:after="160" w:line="259" w:lineRule="auto"/>
            </w:pPr>
            <w:r>
              <w:t>Transport and Main Roads</w:t>
            </w:r>
          </w:p>
        </w:tc>
        <w:tc>
          <w:tcPr>
            <w:tcW w:w="1572" w:type="dxa"/>
          </w:tcPr>
          <w:p w14:paraId="659C3C22" w14:textId="2A359354" w:rsidR="00CA60F5" w:rsidRDefault="00C31CA4" w:rsidP="001905BB">
            <w:pPr>
              <w:spacing w:before="0" w:after="160" w:line="259" w:lineRule="auto"/>
            </w:pPr>
            <w:r>
              <w:t>All members</w:t>
            </w:r>
          </w:p>
        </w:tc>
        <w:tc>
          <w:tcPr>
            <w:tcW w:w="2264" w:type="dxa"/>
          </w:tcPr>
          <w:p w14:paraId="6B4EE8FB" w14:textId="77777777" w:rsidR="00C31CA4" w:rsidRDefault="00C31CA4" w:rsidP="00C31CA4">
            <w:pPr>
              <w:spacing w:before="0" w:after="160" w:line="259" w:lineRule="auto"/>
            </w:pPr>
            <w:r>
              <w:t>Annual review of data trends</w:t>
            </w:r>
          </w:p>
          <w:p w14:paraId="35BBD99E" w14:textId="4D4CC82A" w:rsidR="00CA60F5" w:rsidRDefault="00C31CA4" w:rsidP="00C31CA4">
            <w:pPr>
              <w:spacing w:before="0" w:after="160" w:line="259" w:lineRule="auto"/>
            </w:pPr>
            <w:r>
              <w:t xml:space="preserve">Dissemination of investigation outcomes when available to </w:t>
            </w:r>
            <w:r>
              <w:lastRenderedPageBreak/>
              <w:t>relevant stakeholders</w:t>
            </w:r>
          </w:p>
        </w:tc>
      </w:tr>
      <w:tr w:rsidR="00CA60F5" w14:paraId="10C247EF" w14:textId="77777777" w:rsidTr="001905BB">
        <w:tc>
          <w:tcPr>
            <w:tcW w:w="707" w:type="dxa"/>
          </w:tcPr>
          <w:p w14:paraId="274B223B" w14:textId="3EAF955F" w:rsidR="00CA60F5" w:rsidRDefault="00CA60F5" w:rsidP="001905BB">
            <w:pPr>
              <w:spacing w:before="0" w:after="160" w:line="259" w:lineRule="auto"/>
            </w:pPr>
            <w:r>
              <w:lastRenderedPageBreak/>
              <w:t>12</w:t>
            </w:r>
          </w:p>
        </w:tc>
        <w:tc>
          <w:tcPr>
            <w:tcW w:w="2433" w:type="dxa"/>
          </w:tcPr>
          <w:p w14:paraId="086CF0C0" w14:textId="0293111C" w:rsidR="00CA60F5" w:rsidRPr="00CA60F5" w:rsidRDefault="00ED053A" w:rsidP="001905BB">
            <w:pPr>
              <w:pStyle w:val="Default"/>
              <w:rPr>
                <w:rFonts w:ascii="Arial" w:hAnsi="Arial" w:cstheme="minorBidi"/>
                <w:color w:val="18242E" w:themeColor="text1" w:themeTint="E6"/>
                <w:szCs w:val="22"/>
              </w:rPr>
            </w:pPr>
            <w:r w:rsidRPr="00ED053A">
              <w:rPr>
                <w:rFonts w:ascii="Arial" w:hAnsi="Arial" w:cstheme="minorBidi"/>
                <w:color w:val="18242E" w:themeColor="text1" w:themeTint="E6"/>
                <w:szCs w:val="22"/>
              </w:rPr>
              <w:t>Queensland participation in national data sharing improvement initiatives, working alongside regulators and industry bodies to improve industry wide level crossing data collection and availability</w:t>
            </w:r>
            <w:r w:rsidR="00BD5A7E">
              <w:rPr>
                <w:rStyle w:val="FootnoteReference"/>
                <w:rFonts w:ascii="Arial" w:hAnsi="Arial" w:cstheme="minorBidi"/>
                <w:color w:val="18242E" w:themeColor="text1" w:themeTint="E6"/>
                <w:szCs w:val="22"/>
              </w:rPr>
              <w:footnoteReference w:id="1"/>
            </w:r>
          </w:p>
        </w:tc>
        <w:tc>
          <w:tcPr>
            <w:tcW w:w="1532" w:type="dxa"/>
          </w:tcPr>
          <w:p w14:paraId="565CBBE2" w14:textId="128DB0AE" w:rsidR="00CA60F5" w:rsidRDefault="00ED053A" w:rsidP="001905BB">
            <w:pPr>
              <w:spacing w:before="0" w:after="160" w:line="259" w:lineRule="auto"/>
            </w:pPr>
            <w:r>
              <w:t>2024 onwards</w:t>
            </w:r>
          </w:p>
        </w:tc>
        <w:tc>
          <w:tcPr>
            <w:tcW w:w="1840" w:type="dxa"/>
          </w:tcPr>
          <w:p w14:paraId="3EA0A78A" w14:textId="7A8AF6A1" w:rsidR="00CA60F5" w:rsidRDefault="00ED053A" w:rsidP="001905BB">
            <w:pPr>
              <w:spacing w:before="0" w:after="160" w:line="259" w:lineRule="auto"/>
            </w:pPr>
            <w:r>
              <w:t>Transport and Main Roads</w:t>
            </w:r>
          </w:p>
        </w:tc>
        <w:tc>
          <w:tcPr>
            <w:tcW w:w="1572" w:type="dxa"/>
          </w:tcPr>
          <w:p w14:paraId="34483C30" w14:textId="73484F65" w:rsidR="00CA60F5" w:rsidRDefault="00ED053A" w:rsidP="001905BB">
            <w:pPr>
              <w:spacing w:before="0" w:after="160" w:line="259" w:lineRule="auto"/>
            </w:pPr>
            <w:r>
              <w:t>All members</w:t>
            </w:r>
          </w:p>
        </w:tc>
        <w:tc>
          <w:tcPr>
            <w:tcW w:w="2264" w:type="dxa"/>
          </w:tcPr>
          <w:p w14:paraId="5239DC39" w14:textId="4589B921" w:rsidR="00CA60F5" w:rsidRDefault="00ED053A" w:rsidP="001905BB">
            <w:pPr>
              <w:spacing w:before="0" w:after="160" w:line="259" w:lineRule="auto"/>
            </w:pPr>
            <w:r>
              <w:t>Participation in the national project</w:t>
            </w:r>
          </w:p>
        </w:tc>
      </w:tr>
    </w:tbl>
    <w:p w14:paraId="7A1AA6C5" w14:textId="2967EC7F" w:rsidR="004D7078" w:rsidRDefault="004D7078" w:rsidP="00BD5A7E">
      <w:pPr>
        <w:spacing w:after="160" w:line="259" w:lineRule="auto"/>
      </w:pPr>
    </w:p>
    <w:p w14:paraId="12E87DD6" w14:textId="77777777" w:rsidR="004D7078" w:rsidRDefault="004D7078">
      <w:pPr>
        <w:spacing w:before="0" w:after="160" w:line="259" w:lineRule="auto"/>
      </w:pPr>
      <w:r>
        <w:br w:type="page"/>
      </w:r>
    </w:p>
    <w:p w14:paraId="457EB80F" w14:textId="6AC64A3F" w:rsidR="00CA60F5" w:rsidRPr="006F7A85" w:rsidRDefault="004D7078" w:rsidP="004D7078">
      <w:pPr>
        <w:pStyle w:val="Heading1"/>
        <w:rPr>
          <w:b/>
          <w:bCs/>
          <w:sz w:val="56"/>
          <w:szCs w:val="32"/>
        </w:rPr>
      </w:pPr>
      <w:r w:rsidRPr="006F7A85">
        <w:rPr>
          <w:b/>
          <w:bCs/>
          <w:sz w:val="56"/>
          <w:szCs w:val="32"/>
        </w:rPr>
        <w:lastRenderedPageBreak/>
        <w:t>Coordination</w:t>
      </w:r>
    </w:p>
    <w:tbl>
      <w:tblPr>
        <w:tblStyle w:val="TMRDefault"/>
        <w:tblW w:w="10348" w:type="dxa"/>
        <w:tblInd w:w="-567" w:type="dxa"/>
        <w:tblLook w:val="04A0" w:firstRow="1" w:lastRow="0" w:firstColumn="1" w:lastColumn="0" w:noHBand="0" w:noVBand="1"/>
      </w:tblPr>
      <w:tblGrid>
        <w:gridCol w:w="694"/>
        <w:gridCol w:w="2369"/>
        <w:gridCol w:w="1532"/>
        <w:gridCol w:w="1816"/>
        <w:gridCol w:w="1732"/>
        <w:gridCol w:w="2205"/>
      </w:tblGrid>
      <w:tr w:rsidR="004D7078" w14:paraId="5600AAD8" w14:textId="77777777" w:rsidTr="00862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7" w:type="dxa"/>
          </w:tcPr>
          <w:p w14:paraId="73F3995F" w14:textId="77777777" w:rsidR="004D7078" w:rsidRPr="00AB26C2" w:rsidRDefault="004D7078" w:rsidP="00862074">
            <w:pPr>
              <w:spacing w:before="0" w:after="160" w:line="259" w:lineRule="auto"/>
              <w:rPr>
                <w:color w:val="FFFFFF" w:themeColor="background1"/>
              </w:rPr>
            </w:pPr>
          </w:p>
        </w:tc>
        <w:tc>
          <w:tcPr>
            <w:tcW w:w="2433" w:type="dxa"/>
          </w:tcPr>
          <w:p w14:paraId="634FD7C8" w14:textId="77777777" w:rsidR="004D7078" w:rsidRPr="00AB26C2" w:rsidRDefault="004D7078" w:rsidP="00862074">
            <w:pPr>
              <w:spacing w:before="0" w:after="160" w:line="259" w:lineRule="auto"/>
              <w:rPr>
                <w:color w:val="FFFFFF" w:themeColor="background1"/>
              </w:rPr>
            </w:pPr>
            <w:r w:rsidRPr="00AB26C2">
              <w:rPr>
                <w:color w:val="FFFFFF" w:themeColor="background1"/>
              </w:rPr>
              <w:t>Key action</w:t>
            </w:r>
          </w:p>
        </w:tc>
        <w:tc>
          <w:tcPr>
            <w:tcW w:w="1532" w:type="dxa"/>
          </w:tcPr>
          <w:p w14:paraId="091600AE" w14:textId="77777777" w:rsidR="004D7078" w:rsidRPr="00AB26C2" w:rsidRDefault="004D7078" w:rsidP="00862074">
            <w:pPr>
              <w:spacing w:before="0" w:after="160" w:line="259" w:lineRule="auto"/>
              <w:rPr>
                <w:color w:val="FFFFFF" w:themeColor="background1"/>
              </w:rPr>
            </w:pPr>
            <w:r w:rsidRPr="00AB26C2">
              <w:rPr>
                <w:color w:val="FFFFFF" w:themeColor="background1"/>
              </w:rPr>
              <w:t>Timeframe</w:t>
            </w:r>
          </w:p>
        </w:tc>
        <w:tc>
          <w:tcPr>
            <w:tcW w:w="1840" w:type="dxa"/>
          </w:tcPr>
          <w:p w14:paraId="2C24D1B4" w14:textId="77777777" w:rsidR="004D7078" w:rsidRPr="00AB26C2" w:rsidRDefault="004D7078" w:rsidP="00862074">
            <w:pPr>
              <w:spacing w:before="0" w:after="160" w:line="259" w:lineRule="auto"/>
              <w:rPr>
                <w:color w:val="FFFFFF" w:themeColor="background1"/>
              </w:rPr>
            </w:pPr>
            <w:r w:rsidRPr="00AB26C2">
              <w:rPr>
                <w:color w:val="FFFFFF" w:themeColor="background1"/>
              </w:rPr>
              <w:t>Lead</w:t>
            </w:r>
          </w:p>
        </w:tc>
        <w:tc>
          <w:tcPr>
            <w:tcW w:w="1572" w:type="dxa"/>
          </w:tcPr>
          <w:p w14:paraId="1B8DAC9A" w14:textId="77777777" w:rsidR="004D7078" w:rsidRPr="00AB26C2" w:rsidRDefault="004D7078" w:rsidP="00862074">
            <w:pPr>
              <w:spacing w:before="0" w:after="160" w:line="259" w:lineRule="auto"/>
              <w:rPr>
                <w:color w:val="FFFFFF" w:themeColor="background1"/>
              </w:rPr>
            </w:pPr>
            <w:r w:rsidRPr="00AB26C2">
              <w:rPr>
                <w:color w:val="FFFFFF" w:themeColor="background1"/>
              </w:rPr>
              <w:t>Key supporters</w:t>
            </w:r>
          </w:p>
        </w:tc>
        <w:tc>
          <w:tcPr>
            <w:tcW w:w="2264" w:type="dxa"/>
          </w:tcPr>
          <w:p w14:paraId="25234AFE" w14:textId="77777777" w:rsidR="004D7078" w:rsidRPr="00AB26C2" w:rsidRDefault="004D7078" w:rsidP="00862074">
            <w:pPr>
              <w:spacing w:before="0" w:after="160" w:line="259" w:lineRule="auto"/>
              <w:rPr>
                <w:color w:val="FFFFFF" w:themeColor="background1"/>
              </w:rPr>
            </w:pPr>
            <w:r w:rsidRPr="00AB26C2">
              <w:rPr>
                <w:color w:val="FFFFFF" w:themeColor="background1"/>
              </w:rPr>
              <w:t>Success measure</w:t>
            </w:r>
          </w:p>
        </w:tc>
      </w:tr>
      <w:tr w:rsidR="004D7078" w14:paraId="6F914BC4" w14:textId="77777777" w:rsidTr="0086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7" w:type="dxa"/>
          </w:tcPr>
          <w:p w14:paraId="72A6FFA0" w14:textId="684FC3EF" w:rsidR="004D7078" w:rsidRDefault="00486DF6" w:rsidP="00862074">
            <w:pPr>
              <w:spacing w:before="0" w:after="160" w:line="259" w:lineRule="auto"/>
            </w:pPr>
            <w:r>
              <w:t>13</w:t>
            </w:r>
          </w:p>
        </w:tc>
        <w:tc>
          <w:tcPr>
            <w:tcW w:w="2433" w:type="dxa"/>
          </w:tcPr>
          <w:p w14:paraId="0BA99131" w14:textId="3FEDA009" w:rsidR="004D7078" w:rsidRDefault="00486DF6" w:rsidP="00862074">
            <w:pPr>
              <w:spacing w:before="0" w:after="160" w:line="259" w:lineRule="auto"/>
            </w:pPr>
            <w:r w:rsidRPr="00486DF6">
              <w:t>The Queensland Level Crossing Safety Group Chair to represent Queensland on the National Level Crossing Safety Committee and Industry to represent Queensland on the National Industry Reference Group</w:t>
            </w:r>
          </w:p>
        </w:tc>
        <w:tc>
          <w:tcPr>
            <w:tcW w:w="1532" w:type="dxa"/>
          </w:tcPr>
          <w:p w14:paraId="0333C638" w14:textId="7368FBDF" w:rsidR="004D7078" w:rsidRDefault="00486DF6" w:rsidP="00862074">
            <w:pPr>
              <w:spacing w:before="0" w:after="160" w:line="259" w:lineRule="auto"/>
            </w:pPr>
            <w:r>
              <w:t>Ongoing</w:t>
            </w:r>
          </w:p>
        </w:tc>
        <w:tc>
          <w:tcPr>
            <w:tcW w:w="1840" w:type="dxa"/>
          </w:tcPr>
          <w:p w14:paraId="532AF819" w14:textId="77777777" w:rsidR="004D7078" w:rsidRDefault="00486DF6" w:rsidP="00862074">
            <w:pPr>
              <w:spacing w:before="0" w:after="160" w:line="259" w:lineRule="auto"/>
            </w:pPr>
            <w:r>
              <w:t>Transport and Main Roads</w:t>
            </w:r>
          </w:p>
          <w:p w14:paraId="5FE5C23B" w14:textId="77777777" w:rsidR="00486DF6" w:rsidRDefault="00486DF6" w:rsidP="00862074">
            <w:pPr>
              <w:spacing w:before="0" w:after="160" w:line="259" w:lineRule="auto"/>
            </w:pPr>
            <w:r>
              <w:t>Queensland Rail</w:t>
            </w:r>
          </w:p>
          <w:p w14:paraId="7447F568" w14:textId="6FB76D90" w:rsidR="00486DF6" w:rsidRDefault="00486DF6" w:rsidP="00862074">
            <w:pPr>
              <w:spacing w:before="0" w:after="160" w:line="259" w:lineRule="auto"/>
            </w:pPr>
            <w:r>
              <w:t>Australian Rail Track Corporation</w:t>
            </w:r>
          </w:p>
        </w:tc>
        <w:tc>
          <w:tcPr>
            <w:tcW w:w="1572" w:type="dxa"/>
          </w:tcPr>
          <w:p w14:paraId="6A1EA9B4" w14:textId="155C4E0E" w:rsidR="004D7078" w:rsidRDefault="00486DF6" w:rsidP="00862074">
            <w:pPr>
              <w:spacing w:before="0" w:after="160" w:line="259" w:lineRule="auto"/>
            </w:pPr>
            <w:r>
              <w:t>All members</w:t>
            </w:r>
          </w:p>
        </w:tc>
        <w:tc>
          <w:tcPr>
            <w:tcW w:w="2264" w:type="dxa"/>
          </w:tcPr>
          <w:p w14:paraId="35614498" w14:textId="6BAC7FFB" w:rsidR="004D7078" w:rsidRDefault="00060975" w:rsidP="00862074">
            <w:pPr>
              <w:spacing w:before="0" w:after="160" w:line="259" w:lineRule="auto"/>
            </w:pPr>
            <w:r w:rsidRPr="00060975">
              <w:t>Active participation on the National Level Crossing Safety Committee and the National Industry Reference Group</w:t>
            </w:r>
          </w:p>
        </w:tc>
      </w:tr>
      <w:tr w:rsidR="004D7078" w14:paraId="4499FC1B" w14:textId="77777777" w:rsidTr="00862074">
        <w:tc>
          <w:tcPr>
            <w:tcW w:w="707" w:type="dxa"/>
          </w:tcPr>
          <w:p w14:paraId="34148229" w14:textId="7D2B36F8" w:rsidR="004D7078" w:rsidRDefault="00486DF6" w:rsidP="00862074">
            <w:pPr>
              <w:spacing w:before="0" w:after="160" w:line="259" w:lineRule="auto"/>
            </w:pPr>
            <w:r>
              <w:t>14</w:t>
            </w:r>
          </w:p>
        </w:tc>
        <w:tc>
          <w:tcPr>
            <w:tcW w:w="2433" w:type="dxa"/>
          </w:tcPr>
          <w:p w14:paraId="11D21E5D" w14:textId="701085CA" w:rsidR="004D7078" w:rsidRDefault="00060975" w:rsidP="00862074">
            <w:pPr>
              <w:spacing w:before="0" w:after="160" w:line="259" w:lineRule="auto"/>
            </w:pPr>
            <w:r w:rsidRPr="00060975">
              <w:t>Deliver improvements to high risk regional level crossings as approved through the Australian Government Regional Level Crossing Upgrade Fund</w:t>
            </w:r>
          </w:p>
        </w:tc>
        <w:tc>
          <w:tcPr>
            <w:tcW w:w="1532" w:type="dxa"/>
          </w:tcPr>
          <w:p w14:paraId="44E3837E" w14:textId="3ECF0961" w:rsidR="004D7078" w:rsidRDefault="00060975" w:rsidP="00862074">
            <w:pPr>
              <w:spacing w:before="0" w:after="160" w:line="259" w:lineRule="auto"/>
            </w:pPr>
            <w:r>
              <w:t>2024-2027</w:t>
            </w:r>
          </w:p>
        </w:tc>
        <w:tc>
          <w:tcPr>
            <w:tcW w:w="1840" w:type="dxa"/>
          </w:tcPr>
          <w:p w14:paraId="67384AF8" w14:textId="6A3F4D7C" w:rsidR="004D7078" w:rsidRDefault="00060975" w:rsidP="00862074">
            <w:pPr>
              <w:spacing w:before="0" w:after="160" w:line="259" w:lineRule="auto"/>
            </w:pPr>
            <w:r>
              <w:t>Transport and Main Roads</w:t>
            </w:r>
          </w:p>
        </w:tc>
        <w:tc>
          <w:tcPr>
            <w:tcW w:w="1572" w:type="dxa"/>
          </w:tcPr>
          <w:p w14:paraId="6E97CBE1" w14:textId="77777777" w:rsidR="004D7078" w:rsidRDefault="00060975" w:rsidP="00862074">
            <w:pPr>
              <w:spacing w:before="0" w:after="160" w:line="259" w:lineRule="auto"/>
            </w:pPr>
            <w:r>
              <w:t>Rail Infrastructure Managers</w:t>
            </w:r>
          </w:p>
          <w:p w14:paraId="3A20224C" w14:textId="3D480815" w:rsidR="00060975" w:rsidRDefault="00060975" w:rsidP="00862074">
            <w:pPr>
              <w:spacing w:before="0" w:after="160" w:line="259" w:lineRule="auto"/>
            </w:pPr>
            <w:r>
              <w:t>Road Managers</w:t>
            </w:r>
          </w:p>
        </w:tc>
        <w:tc>
          <w:tcPr>
            <w:tcW w:w="2264" w:type="dxa"/>
          </w:tcPr>
          <w:p w14:paraId="7DD08C0E" w14:textId="77E82DD3" w:rsidR="004D7078" w:rsidRDefault="00060975" w:rsidP="00862074">
            <w:pPr>
              <w:spacing w:before="0" w:after="160" w:line="259" w:lineRule="auto"/>
            </w:pPr>
            <w:r>
              <w:t>Completion of approved level crossing improvement projects</w:t>
            </w:r>
          </w:p>
        </w:tc>
      </w:tr>
    </w:tbl>
    <w:p w14:paraId="362D183D" w14:textId="77777777" w:rsidR="004D7078" w:rsidRPr="006454B3" w:rsidRDefault="004D7078" w:rsidP="00BD5A7E">
      <w:pPr>
        <w:spacing w:after="160" w:line="259" w:lineRule="auto"/>
      </w:pPr>
    </w:p>
    <w:sectPr w:rsidR="004D7078" w:rsidRPr="006454B3" w:rsidSect="00A355BF">
      <w:footerReference w:type="default" r:id="rId9"/>
      <w:headerReference w:type="first" r:id="rId10"/>
      <w:pgSz w:w="11906" w:h="16838" w:code="9"/>
      <w:pgMar w:top="993" w:right="1417" w:bottom="1843" w:left="1417" w:header="454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2CF6" w14:textId="77777777" w:rsidR="0085487D" w:rsidRDefault="0085487D" w:rsidP="00A9280E">
      <w:pPr>
        <w:spacing w:line="240" w:lineRule="auto"/>
      </w:pPr>
      <w:r>
        <w:separator/>
      </w:r>
    </w:p>
  </w:endnote>
  <w:endnote w:type="continuationSeparator" w:id="0">
    <w:p w14:paraId="6B1C2985" w14:textId="77777777" w:rsidR="0085487D" w:rsidRDefault="0085487D" w:rsidP="00A92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ro-N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EAC0" w14:textId="249067C6" w:rsidR="00A355BF" w:rsidRDefault="00A355BF">
    <w:pPr>
      <w:pStyle w:val="Footer"/>
    </w:pPr>
    <w:r w:rsidRPr="000126D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C56C6A" wp14:editId="5DDCCCE3">
              <wp:simplePos x="0" y="0"/>
              <wp:positionH relativeFrom="column">
                <wp:posOffset>635</wp:posOffset>
              </wp:positionH>
              <wp:positionV relativeFrom="paragraph">
                <wp:posOffset>-86534</wp:posOffset>
              </wp:positionV>
              <wp:extent cx="5756564" cy="0"/>
              <wp:effectExtent l="0" t="0" r="0" b="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6564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25000"/>
                            <a:lumOff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165973" id="Straight Connector 6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6.8pt" to="453.3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" strokecolor="#b0c5d5 [829]" strokeweight=".5pt">
              <v:stroke joinstyle="miter"/>
            </v:line>
          </w:pict>
        </mc:Fallback>
      </mc:AlternateContent>
    </w:r>
    <w:r w:rsidR="00AC5FA8">
      <w:rPr>
        <w:rStyle w:val="Header2Char"/>
      </w:rPr>
      <w:t>Queensland Level Crossing Safety Action Plan 2024-2026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1CDD" w14:textId="77777777" w:rsidR="0085487D" w:rsidRDefault="0085487D" w:rsidP="00A9280E">
      <w:pPr>
        <w:spacing w:line="240" w:lineRule="auto"/>
      </w:pPr>
      <w:r>
        <w:separator/>
      </w:r>
    </w:p>
  </w:footnote>
  <w:footnote w:type="continuationSeparator" w:id="0">
    <w:p w14:paraId="4A8F9D95" w14:textId="77777777" w:rsidR="0085487D" w:rsidRDefault="0085487D" w:rsidP="00A9280E">
      <w:pPr>
        <w:spacing w:line="240" w:lineRule="auto"/>
      </w:pPr>
      <w:r>
        <w:continuationSeparator/>
      </w:r>
    </w:p>
  </w:footnote>
  <w:footnote w:id="1">
    <w:p w14:paraId="2D93C2CD" w14:textId="47FF5476" w:rsidR="00BD5A7E" w:rsidRPr="006454B3" w:rsidRDefault="00BD5A7E" w:rsidP="00BD5A7E">
      <w:pPr>
        <w:spacing w:after="160" w:line="259" w:lineRule="auto"/>
      </w:pPr>
      <w:r>
        <w:rPr>
          <w:rStyle w:val="FootnoteReference"/>
        </w:rPr>
        <w:footnoteRef/>
      </w:r>
      <w:r>
        <w:t xml:space="preserve"> </w:t>
      </w:r>
      <w:r w:rsidRPr="00C57497">
        <w:rPr>
          <w:sz w:val="20"/>
          <w:szCs w:val="18"/>
        </w:rPr>
        <w:t xml:space="preserve">This project was identifed at the 2024 National Level Crossing Safety Roundtable as a priority initiative of the National Level Crossing Safety Strategy 2023-2032 and will be led by National Level Crossing Safety Committee (NLCSC) member organisations. The Department of Transport and Main Roads will be involved as the Queensland member of the </w:t>
      </w:r>
      <w:r w:rsidR="006848B2" w:rsidRPr="00C57497">
        <w:rPr>
          <w:sz w:val="20"/>
          <w:szCs w:val="18"/>
        </w:rPr>
        <w:t>National Level Crossing Safety Committee</w:t>
      </w:r>
      <w:r w:rsidRPr="00C57497">
        <w:rPr>
          <w:sz w:val="20"/>
          <w:szCs w:val="18"/>
        </w:rPr>
        <w:t>.</w:t>
      </w:r>
    </w:p>
    <w:p w14:paraId="5F041F16" w14:textId="18A4F5E9" w:rsidR="00BD5A7E" w:rsidRDefault="00BD5A7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FBE4" w14:textId="77777777" w:rsidR="00A355BF" w:rsidRDefault="00A355BF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AAD0B02" wp14:editId="5B8C572B">
          <wp:simplePos x="0" y="0"/>
          <wp:positionH relativeFrom="page">
            <wp:posOffset>-635</wp:posOffset>
          </wp:positionH>
          <wp:positionV relativeFrom="page">
            <wp:posOffset>1270</wp:posOffset>
          </wp:positionV>
          <wp:extent cx="7560000" cy="10692000"/>
          <wp:effectExtent l="0" t="0" r="3175" b="0"/>
          <wp:wrapNone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10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E442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E0C08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BE0B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57C7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5EEA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4626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81232F"/>
    <w:multiLevelType w:val="hybridMultilevel"/>
    <w:tmpl w:val="E5B85CB6"/>
    <w:lvl w:ilvl="0" w:tplc="85CAF872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307B1"/>
    <w:multiLevelType w:val="hybridMultilevel"/>
    <w:tmpl w:val="7E34102E"/>
    <w:lvl w:ilvl="0" w:tplc="85CAF872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677B7"/>
    <w:multiLevelType w:val="hybridMultilevel"/>
    <w:tmpl w:val="F23C9600"/>
    <w:lvl w:ilvl="0" w:tplc="85CAF872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43E6F"/>
    <w:multiLevelType w:val="hybridMultilevel"/>
    <w:tmpl w:val="8512A1F8"/>
    <w:lvl w:ilvl="0" w:tplc="12161BE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F22"/>
    <w:multiLevelType w:val="hybridMultilevel"/>
    <w:tmpl w:val="743241B6"/>
    <w:lvl w:ilvl="0" w:tplc="85CAF872">
      <w:numFmt w:val="bullet"/>
      <w:lvlText w:val="•"/>
      <w:lvlJc w:val="left"/>
      <w:pPr>
        <w:ind w:left="165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776202"/>
    <w:multiLevelType w:val="hybridMultilevel"/>
    <w:tmpl w:val="70C81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C5EDA"/>
    <w:multiLevelType w:val="hybridMultilevel"/>
    <w:tmpl w:val="8586D2F2"/>
    <w:lvl w:ilvl="0" w:tplc="0DC81C4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674589"/>
    <w:multiLevelType w:val="hybridMultilevel"/>
    <w:tmpl w:val="D842F7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353E3"/>
    <w:multiLevelType w:val="hybridMultilevel"/>
    <w:tmpl w:val="C390201C"/>
    <w:lvl w:ilvl="0" w:tplc="85CAF872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246ED"/>
    <w:multiLevelType w:val="multilevel"/>
    <w:tmpl w:val="A3FEDEAC"/>
    <w:name w:val="Number List"/>
    <w:lvl w:ilvl="0">
      <w:start w:val="1"/>
      <w:numFmt w:val="decimal"/>
      <w:lvlRestart w:val="0"/>
      <w:pStyle w:val="ListNumber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istNumber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ListNumber3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6" w15:restartNumberingAfterBreak="0">
    <w:nsid w:val="67655653"/>
    <w:multiLevelType w:val="singleLevel"/>
    <w:tmpl w:val="5802AB64"/>
    <w:name w:val="Bullet List 3"/>
    <w:lvl w:ilvl="0">
      <w:start w:val="1"/>
      <w:numFmt w:val="bullet"/>
      <w:pStyle w:val="ListBullet3"/>
      <w:lvlText w:val="○"/>
      <w:lvlJc w:val="left"/>
      <w:pPr>
        <w:ind w:left="1000" w:hanging="360"/>
      </w:pPr>
      <w:rPr>
        <w:rFonts w:ascii="Arial" w:hAnsi="Arial" w:hint="default"/>
      </w:rPr>
    </w:lvl>
  </w:abstractNum>
  <w:abstractNum w:abstractNumId="17" w15:restartNumberingAfterBreak="0">
    <w:nsid w:val="7E61285D"/>
    <w:multiLevelType w:val="singleLevel"/>
    <w:tmpl w:val="EDE4EABC"/>
    <w:name w:val="Bullet List 1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8" w15:restartNumberingAfterBreak="0">
    <w:nsid w:val="7F68036E"/>
    <w:multiLevelType w:val="hybridMultilevel"/>
    <w:tmpl w:val="6AC8E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7528C"/>
    <w:multiLevelType w:val="singleLevel"/>
    <w:tmpl w:val="2548BC40"/>
    <w:lvl w:ilvl="0">
      <w:start w:val="1"/>
      <w:numFmt w:val="bullet"/>
      <w:pStyle w:val="ListBullet2"/>
      <w:lvlText w:val="̶"/>
      <w:lvlJc w:val="left"/>
      <w:pPr>
        <w:ind w:left="720" w:hanging="360"/>
      </w:pPr>
      <w:rPr>
        <w:rFonts w:ascii="Arial" w:hAnsi="Arial" w:hint="default"/>
      </w:rPr>
    </w:lvl>
  </w:abstractNum>
  <w:num w:numId="1" w16cid:durableId="1537810841">
    <w:abstractNumId w:val="4"/>
  </w:num>
  <w:num w:numId="2" w16cid:durableId="611714971">
    <w:abstractNumId w:val="15"/>
  </w:num>
  <w:num w:numId="3" w16cid:durableId="2089233339">
    <w:abstractNumId w:val="1"/>
  </w:num>
  <w:num w:numId="4" w16cid:durableId="1064139033">
    <w:abstractNumId w:val="0"/>
  </w:num>
  <w:num w:numId="5" w16cid:durableId="1131676040">
    <w:abstractNumId w:val="5"/>
  </w:num>
  <w:num w:numId="6" w16cid:durableId="1792286315">
    <w:abstractNumId w:val="17"/>
  </w:num>
  <w:num w:numId="7" w16cid:durableId="1137340397">
    <w:abstractNumId w:val="3"/>
  </w:num>
  <w:num w:numId="8" w16cid:durableId="1764453121">
    <w:abstractNumId w:val="19"/>
  </w:num>
  <w:num w:numId="9" w16cid:durableId="1637031433">
    <w:abstractNumId w:val="2"/>
  </w:num>
  <w:num w:numId="10" w16cid:durableId="1647666585">
    <w:abstractNumId w:val="16"/>
  </w:num>
  <w:num w:numId="11" w16cid:durableId="1284655479">
    <w:abstractNumId w:val="11"/>
  </w:num>
  <w:num w:numId="12" w16cid:durableId="243073785">
    <w:abstractNumId w:val="14"/>
  </w:num>
  <w:num w:numId="13" w16cid:durableId="1688557858">
    <w:abstractNumId w:val="6"/>
  </w:num>
  <w:num w:numId="14" w16cid:durableId="868493949">
    <w:abstractNumId w:val="7"/>
  </w:num>
  <w:num w:numId="15" w16cid:durableId="1187258435">
    <w:abstractNumId w:val="13"/>
  </w:num>
  <w:num w:numId="16" w16cid:durableId="904074665">
    <w:abstractNumId w:val="9"/>
  </w:num>
  <w:num w:numId="17" w16cid:durableId="87309825">
    <w:abstractNumId w:val="10"/>
  </w:num>
  <w:num w:numId="18" w16cid:durableId="1541166783">
    <w:abstractNumId w:val="8"/>
  </w:num>
  <w:num w:numId="19" w16cid:durableId="1118177867">
    <w:abstractNumId w:val="18"/>
  </w:num>
  <w:num w:numId="20" w16cid:durableId="555288349">
    <w:abstractNumId w:val="12"/>
  </w:num>
  <w:num w:numId="21" w16cid:durableId="565259530">
    <w:abstractNumId w:val="19"/>
  </w:num>
  <w:num w:numId="22" w16cid:durableId="1202328764">
    <w:abstractNumId w:val="16"/>
  </w:num>
  <w:num w:numId="23" w16cid:durableId="1213692130">
    <w:abstractNumId w:val="15"/>
  </w:num>
  <w:num w:numId="24" w16cid:durableId="691957020">
    <w:abstractNumId w:val="15"/>
  </w:num>
  <w:num w:numId="25" w16cid:durableId="1485213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4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A8"/>
    <w:rsid w:val="00012CAD"/>
    <w:rsid w:val="0001356D"/>
    <w:rsid w:val="00024C73"/>
    <w:rsid w:val="00035A97"/>
    <w:rsid w:val="00040D81"/>
    <w:rsid w:val="00052CDA"/>
    <w:rsid w:val="00060975"/>
    <w:rsid w:val="00063EC5"/>
    <w:rsid w:val="00067CCE"/>
    <w:rsid w:val="00073B95"/>
    <w:rsid w:val="000919D4"/>
    <w:rsid w:val="000A21FE"/>
    <w:rsid w:val="000B62D3"/>
    <w:rsid w:val="000E26D9"/>
    <w:rsid w:val="00101A73"/>
    <w:rsid w:val="00130383"/>
    <w:rsid w:val="00140CB2"/>
    <w:rsid w:val="00150700"/>
    <w:rsid w:val="00154AB7"/>
    <w:rsid w:val="00171882"/>
    <w:rsid w:val="00172F20"/>
    <w:rsid w:val="0018390F"/>
    <w:rsid w:val="00190D28"/>
    <w:rsid w:val="001935FE"/>
    <w:rsid w:val="00204A19"/>
    <w:rsid w:val="00216C9B"/>
    <w:rsid w:val="002203EC"/>
    <w:rsid w:val="00242092"/>
    <w:rsid w:val="00267FDF"/>
    <w:rsid w:val="002909B5"/>
    <w:rsid w:val="00293985"/>
    <w:rsid w:val="002A7912"/>
    <w:rsid w:val="002D7D2F"/>
    <w:rsid w:val="002F2FF2"/>
    <w:rsid w:val="00321BB9"/>
    <w:rsid w:val="00330284"/>
    <w:rsid w:val="0034090D"/>
    <w:rsid w:val="003533A6"/>
    <w:rsid w:val="00394461"/>
    <w:rsid w:val="003B213C"/>
    <w:rsid w:val="003B4322"/>
    <w:rsid w:val="003C73AE"/>
    <w:rsid w:val="003D3DDE"/>
    <w:rsid w:val="003E0083"/>
    <w:rsid w:val="003F021E"/>
    <w:rsid w:val="0042018F"/>
    <w:rsid w:val="00435625"/>
    <w:rsid w:val="00444D2D"/>
    <w:rsid w:val="00482035"/>
    <w:rsid w:val="00486DF6"/>
    <w:rsid w:val="00492B82"/>
    <w:rsid w:val="00492FF4"/>
    <w:rsid w:val="004C6FAE"/>
    <w:rsid w:val="004D56A9"/>
    <w:rsid w:val="004D7078"/>
    <w:rsid w:val="004E4581"/>
    <w:rsid w:val="004F108A"/>
    <w:rsid w:val="00503AD7"/>
    <w:rsid w:val="005075D9"/>
    <w:rsid w:val="00511F74"/>
    <w:rsid w:val="005356D0"/>
    <w:rsid w:val="00545452"/>
    <w:rsid w:val="00546311"/>
    <w:rsid w:val="00554223"/>
    <w:rsid w:val="00560347"/>
    <w:rsid w:val="00567279"/>
    <w:rsid w:val="0057777A"/>
    <w:rsid w:val="005843EC"/>
    <w:rsid w:val="00585FAB"/>
    <w:rsid w:val="00596985"/>
    <w:rsid w:val="00596F31"/>
    <w:rsid w:val="005B366A"/>
    <w:rsid w:val="005B5D84"/>
    <w:rsid w:val="005B5F23"/>
    <w:rsid w:val="005C435D"/>
    <w:rsid w:val="005F07A0"/>
    <w:rsid w:val="00601688"/>
    <w:rsid w:val="00606FF0"/>
    <w:rsid w:val="00626B30"/>
    <w:rsid w:val="00636886"/>
    <w:rsid w:val="006454B3"/>
    <w:rsid w:val="00650A5D"/>
    <w:rsid w:val="00672632"/>
    <w:rsid w:val="0067263C"/>
    <w:rsid w:val="0067596A"/>
    <w:rsid w:val="006848B2"/>
    <w:rsid w:val="0068573B"/>
    <w:rsid w:val="00687850"/>
    <w:rsid w:val="006902D2"/>
    <w:rsid w:val="00692EE8"/>
    <w:rsid w:val="006A257D"/>
    <w:rsid w:val="006F44A2"/>
    <w:rsid w:val="006F7A85"/>
    <w:rsid w:val="006F7B3D"/>
    <w:rsid w:val="00715DBD"/>
    <w:rsid w:val="00723604"/>
    <w:rsid w:val="00737BE9"/>
    <w:rsid w:val="007777F6"/>
    <w:rsid w:val="00794CEF"/>
    <w:rsid w:val="007A6B20"/>
    <w:rsid w:val="007B1D1E"/>
    <w:rsid w:val="007B55B4"/>
    <w:rsid w:val="007B5787"/>
    <w:rsid w:val="007E0CD4"/>
    <w:rsid w:val="007E45D3"/>
    <w:rsid w:val="007E5D9B"/>
    <w:rsid w:val="007E6613"/>
    <w:rsid w:val="00805CF7"/>
    <w:rsid w:val="00817400"/>
    <w:rsid w:val="00831DDA"/>
    <w:rsid w:val="00832E05"/>
    <w:rsid w:val="0084404D"/>
    <w:rsid w:val="00850F61"/>
    <w:rsid w:val="0085487D"/>
    <w:rsid w:val="00873D82"/>
    <w:rsid w:val="0088793C"/>
    <w:rsid w:val="008938DB"/>
    <w:rsid w:val="008A05EE"/>
    <w:rsid w:val="008C0F00"/>
    <w:rsid w:val="008C7462"/>
    <w:rsid w:val="008D375B"/>
    <w:rsid w:val="008D45CD"/>
    <w:rsid w:val="008E08B2"/>
    <w:rsid w:val="008F15FD"/>
    <w:rsid w:val="008F79AE"/>
    <w:rsid w:val="00900DEE"/>
    <w:rsid w:val="00910872"/>
    <w:rsid w:val="00912233"/>
    <w:rsid w:val="00923EA4"/>
    <w:rsid w:val="00924579"/>
    <w:rsid w:val="0094184C"/>
    <w:rsid w:val="00954EB3"/>
    <w:rsid w:val="00955CFE"/>
    <w:rsid w:val="00966CEB"/>
    <w:rsid w:val="00984F2A"/>
    <w:rsid w:val="009868A8"/>
    <w:rsid w:val="009A127C"/>
    <w:rsid w:val="009A4AED"/>
    <w:rsid w:val="009B024D"/>
    <w:rsid w:val="009B1A73"/>
    <w:rsid w:val="009C476A"/>
    <w:rsid w:val="009C577D"/>
    <w:rsid w:val="00A13321"/>
    <w:rsid w:val="00A250D6"/>
    <w:rsid w:val="00A355BF"/>
    <w:rsid w:val="00A63DCB"/>
    <w:rsid w:val="00A67B95"/>
    <w:rsid w:val="00A77553"/>
    <w:rsid w:val="00A9280E"/>
    <w:rsid w:val="00AB26C2"/>
    <w:rsid w:val="00AC5FA8"/>
    <w:rsid w:val="00AE2692"/>
    <w:rsid w:val="00B01571"/>
    <w:rsid w:val="00B02107"/>
    <w:rsid w:val="00B1179E"/>
    <w:rsid w:val="00B15F3B"/>
    <w:rsid w:val="00B44A61"/>
    <w:rsid w:val="00B54845"/>
    <w:rsid w:val="00B56ABB"/>
    <w:rsid w:val="00B65437"/>
    <w:rsid w:val="00B70360"/>
    <w:rsid w:val="00BB29BA"/>
    <w:rsid w:val="00BB35E9"/>
    <w:rsid w:val="00BD5A7E"/>
    <w:rsid w:val="00C00352"/>
    <w:rsid w:val="00C12AC8"/>
    <w:rsid w:val="00C31CA4"/>
    <w:rsid w:val="00C358A6"/>
    <w:rsid w:val="00C35BDA"/>
    <w:rsid w:val="00C57497"/>
    <w:rsid w:val="00C85DC6"/>
    <w:rsid w:val="00CA60F5"/>
    <w:rsid w:val="00CB6F7C"/>
    <w:rsid w:val="00CC58D5"/>
    <w:rsid w:val="00CE0CFA"/>
    <w:rsid w:val="00D00CA4"/>
    <w:rsid w:val="00D242AE"/>
    <w:rsid w:val="00D34E36"/>
    <w:rsid w:val="00D62542"/>
    <w:rsid w:val="00D77F76"/>
    <w:rsid w:val="00D8103A"/>
    <w:rsid w:val="00D840FD"/>
    <w:rsid w:val="00D91F41"/>
    <w:rsid w:val="00DC0880"/>
    <w:rsid w:val="00DE0712"/>
    <w:rsid w:val="00E4305A"/>
    <w:rsid w:val="00E43405"/>
    <w:rsid w:val="00E434E1"/>
    <w:rsid w:val="00E47617"/>
    <w:rsid w:val="00E63541"/>
    <w:rsid w:val="00E712EE"/>
    <w:rsid w:val="00E91F26"/>
    <w:rsid w:val="00EB0E73"/>
    <w:rsid w:val="00EB21D5"/>
    <w:rsid w:val="00EB3C3D"/>
    <w:rsid w:val="00EC24BE"/>
    <w:rsid w:val="00ED053A"/>
    <w:rsid w:val="00F12B31"/>
    <w:rsid w:val="00F266F9"/>
    <w:rsid w:val="00F3649F"/>
    <w:rsid w:val="00F77ECC"/>
    <w:rsid w:val="00F93E75"/>
    <w:rsid w:val="00FA6059"/>
    <w:rsid w:val="00FC76B9"/>
    <w:rsid w:val="00FD0817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1CC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AB"/>
    <w:pPr>
      <w:spacing w:before="320" w:after="0" w:line="320" w:lineRule="atLeast"/>
    </w:pPr>
    <w:rPr>
      <w:rFonts w:ascii="Arial" w:hAnsi="Arial"/>
      <w:color w:val="18242E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FAB"/>
    <w:pPr>
      <w:keepNext/>
      <w:keepLines/>
      <w:spacing w:before="480" w:line="680" w:lineRule="atLeast"/>
      <w:outlineLvl w:val="0"/>
    </w:pPr>
    <w:rPr>
      <w:rFonts w:eastAsiaTheme="majorEastAsia" w:cstheme="majorBidi"/>
      <w:color w:val="003E69"/>
      <w:sz w:val="60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85FAB"/>
    <w:pPr>
      <w:spacing w:line="520" w:lineRule="atLeast"/>
      <w:outlineLvl w:val="1"/>
    </w:pPr>
    <w:rPr>
      <w:color w:val="041C2C" w:themeColor="background2" w:themeShade="1A"/>
      <w:sz w:val="44"/>
      <w:szCs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85FAB"/>
    <w:pPr>
      <w:spacing w:line="400" w:lineRule="atLeast"/>
      <w:outlineLvl w:val="2"/>
    </w:pPr>
    <w:rPr>
      <w:sz w:val="32"/>
      <w:szCs w:val="28"/>
    </w:rPr>
  </w:style>
  <w:style w:type="paragraph" w:styleId="Heading4">
    <w:name w:val="heading 4"/>
    <w:basedOn w:val="Heading1"/>
    <w:next w:val="Normal"/>
    <w:link w:val="Heading4Char"/>
    <w:autoRedefine/>
    <w:uiPriority w:val="9"/>
    <w:unhideWhenUsed/>
    <w:qFormat/>
    <w:rsid w:val="00585FAB"/>
    <w:pPr>
      <w:spacing w:line="320" w:lineRule="atLeast"/>
      <w:outlineLvl w:val="3"/>
    </w:pPr>
    <w:rPr>
      <w:b/>
      <w:color w:val="003E69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F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002E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FA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01E3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FA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01E3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FA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01E3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F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1E3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nhideWhenUsed/>
    <w:qFormat/>
    <w:rsid w:val="00503AD7"/>
  </w:style>
  <w:style w:type="character" w:customStyle="1" w:styleId="BodyTextChar">
    <w:name w:val="Body Text Char"/>
    <w:basedOn w:val="DefaultParagraphFont"/>
    <w:link w:val="BodyText"/>
    <w:rsid w:val="00503AD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85FAB"/>
    <w:pPr>
      <w:tabs>
        <w:tab w:val="center" w:pos="4536"/>
        <w:tab w:val="right" w:pos="9072"/>
      </w:tabs>
      <w:spacing w:before="160" w:after="160" w:line="280" w:lineRule="exact"/>
    </w:pPr>
    <w:rPr>
      <w:color w:val="324B5E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5FAB"/>
    <w:rPr>
      <w:rFonts w:ascii="Arial" w:hAnsi="Arial"/>
      <w:color w:val="324B5E" w:themeColor="text1" w:themeTint="BF"/>
      <w:sz w:val="20"/>
    </w:rPr>
  </w:style>
  <w:style w:type="paragraph" w:styleId="Header">
    <w:name w:val="header"/>
    <w:basedOn w:val="Footer"/>
    <w:link w:val="HeaderChar"/>
    <w:uiPriority w:val="99"/>
    <w:unhideWhenUsed/>
    <w:rsid w:val="00585FAB"/>
  </w:style>
  <w:style w:type="character" w:customStyle="1" w:styleId="HeaderChar">
    <w:name w:val="Header Char"/>
    <w:basedOn w:val="DefaultParagraphFont"/>
    <w:link w:val="Header"/>
    <w:uiPriority w:val="99"/>
    <w:rsid w:val="00585FAB"/>
    <w:rPr>
      <w:rFonts w:ascii="Arial" w:hAnsi="Arial"/>
      <w:color w:val="324B5E" w:themeColor="text1" w:themeTint="BF"/>
      <w:sz w:val="20"/>
    </w:rPr>
  </w:style>
  <w:style w:type="paragraph" w:customStyle="1" w:styleId="Header2">
    <w:name w:val="Header 2"/>
    <w:basedOn w:val="Footer"/>
    <w:link w:val="Header2Char"/>
    <w:rsid w:val="00585FAB"/>
  </w:style>
  <w:style w:type="character" w:customStyle="1" w:styleId="Header2Char">
    <w:name w:val="Header 2 Char"/>
    <w:basedOn w:val="DefaultParagraphFont"/>
    <w:link w:val="Header2"/>
    <w:rsid w:val="00585FAB"/>
    <w:rPr>
      <w:rFonts w:ascii="Arial" w:hAnsi="Arial"/>
      <w:color w:val="324B5E" w:themeColor="text1" w:themeTint="BF"/>
      <w:sz w:val="20"/>
    </w:rPr>
  </w:style>
  <w:style w:type="paragraph" w:customStyle="1" w:styleId="Footer2">
    <w:name w:val="Footer 2"/>
    <w:basedOn w:val="Footer"/>
    <w:link w:val="Footer2Char"/>
    <w:rsid w:val="00585FAB"/>
  </w:style>
  <w:style w:type="character" w:customStyle="1" w:styleId="Footer2Char">
    <w:name w:val="Footer 2 Char"/>
    <w:basedOn w:val="DefaultParagraphFont"/>
    <w:link w:val="Footer2"/>
    <w:rsid w:val="00585FAB"/>
    <w:rPr>
      <w:rFonts w:ascii="Arial" w:hAnsi="Arial"/>
      <w:color w:val="324B5E" w:themeColor="text1" w:themeTint="BF"/>
      <w:sz w:val="20"/>
    </w:rPr>
  </w:style>
  <w:style w:type="paragraph" w:styleId="ListNumber">
    <w:name w:val="List Number"/>
    <w:basedOn w:val="Normal"/>
    <w:uiPriority w:val="99"/>
    <w:unhideWhenUsed/>
    <w:rsid w:val="00585FAB"/>
    <w:pPr>
      <w:numPr>
        <w:numId w:val="25"/>
      </w:numPr>
      <w:spacing w:before="160"/>
      <w:contextualSpacing/>
    </w:pPr>
  </w:style>
  <w:style w:type="paragraph" w:styleId="ListNumber2">
    <w:name w:val="List Number 2"/>
    <w:basedOn w:val="Normal"/>
    <w:uiPriority w:val="99"/>
    <w:unhideWhenUsed/>
    <w:rsid w:val="00585FAB"/>
    <w:pPr>
      <w:numPr>
        <w:ilvl w:val="1"/>
        <w:numId w:val="25"/>
      </w:numPr>
      <w:spacing w:before="160"/>
      <w:contextualSpacing/>
    </w:pPr>
  </w:style>
  <w:style w:type="paragraph" w:styleId="ListNumber3">
    <w:name w:val="List Number 3"/>
    <w:basedOn w:val="Normal"/>
    <w:uiPriority w:val="99"/>
    <w:unhideWhenUsed/>
    <w:rsid w:val="00585FAB"/>
    <w:pPr>
      <w:numPr>
        <w:ilvl w:val="2"/>
        <w:numId w:val="25"/>
      </w:numPr>
      <w:spacing w:before="160"/>
      <w:contextualSpacing/>
    </w:pPr>
  </w:style>
  <w:style w:type="paragraph" w:styleId="ListBullet">
    <w:name w:val="List Bullet"/>
    <w:basedOn w:val="Normal"/>
    <w:uiPriority w:val="99"/>
    <w:unhideWhenUsed/>
    <w:rsid w:val="00585FAB"/>
    <w:pPr>
      <w:numPr>
        <w:numId w:val="20"/>
      </w:numPr>
      <w:spacing w:before="160"/>
      <w:contextualSpacing/>
    </w:pPr>
    <w:rPr>
      <w:lang w:eastAsia="en-AU"/>
    </w:rPr>
  </w:style>
  <w:style w:type="paragraph" w:styleId="ListBullet2">
    <w:name w:val="List Bullet 2"/>
    <w:basedOn w:val="Normal"/>
    <w:uiPriority w:val="99"/>
    <w:unhideWhenUsed/>
    <w:rsid w:val="00585FAB"/>
    <w:pPr>
      <w:numPr>
        <w:numId w:val="21"/>
      </w:numPr>
      <w:tabs>
        <w:tab w:val="left" w:pos="160"/>
      </w:tabs>
      <w:spacing w:before="160"/>
      <w:contextualSpacing/>
    </w:pPr>
  </w:style>
  <w:style w:type="paragraph" w:styleId="ListBullet3">
    <w:name w:val="List Bullet 3"/>
    <w:basedOn w:val="Normal"/>
    <w:autoRedefine/>
    <w:uiPriority w:val="99"/>
    <w:unhideWhenUsed/>
    <w:rsid w:val="00585FAB"/>
    <w:pPr>
      <w:numPr>
        <w:numId w:val="22"/>
      </w:numPr>
      <w:tabs>
        <w:tab w:val="num" w:pos="1701"/>
      </w:tabs>
      <w:spacing w:before="160"/>
      <w:contextualSpacing/>
    </w:pPr>
  </w:style>
  <w:style w:type="paragraph" w:styleId="EnvelopeAddress">
    <w:name w:val="envelope address"/>
    <w:basedOn w:val="Normal"/>
    <w:uiPriority w:val="99"/>
    <w:semiHidden/>
    <w:unhideWhenUsed/>
    <w:rsid w:val="00585FAB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85FAB"/>
    <w:rPr>
      <w:rFonts w:ascii="Arial" w:eastAsiaTheme="majorEastAsia" w:hAnsi="Arial" w:cstheme="majorBidi"/>
      <w:color w:val="003E69"/>
      <w:sz w:val="6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85FAB"/>
    <w:rPr>
      <w:rFonts w:ascii="Arial" w:eastAsiaTheme="majorEastAsia" w:hAnsi="Arial" w:cstheme="majorBidi"/>
      <w:color w:val="003E69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85FAB"/>
    <w:rPr>
      <w:rFonts w:ascii="Arial" w:eastAsiaTheme="majorEastAsia" w:hAnsi="Arial" w:cstheme="majorBidi"/>
      <w:b/>
      <w:color w:val="003E69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85FAB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FAB"/>
    <w:pPr>
      <w:spacing w:before="480" w:after="480" w:line="360" w:lineRule="atLeast"/>
      <w:jc w:val="center"/>
    </w:pPr>
    <w:rPr>
      <w:rFonts w:asciiTheme="majorHAnsi" w:eastAsiaTheme="majorEastAsia" w:hAnsiTheme="majorHAnsi" w:cstheme="majorBidi"/>
      <w:b/>
      <w:i/>
      <w:color w:val="003E69" w:themeColor="text2"/>
      <w:spacing w:val="-6"/>
      <w:sz w:val="28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FAB"/>
    <w:rPr>
      <w:rFonts w:asciiTheme="majorHAnsi" w:eastAsiaTheme="majorEastAsia" w:hAnsiTheme="majorHAnsi" w:cstheme="majorBidi"/>
      <w:b/>
      <w:i/>
      <w:color w:val="003E69" w:themeColor="text2"/>
      <w:spacing w:val="-6"/>
      <w:sz w:val="28"/>
      <w:szCs w:val="32"/>
    </w:rPr>
  </w:style>
  <w:style w:type="paragraph" w:styleId="ListParagraph">
    <w:name w:val="List Paragraph"/>
    <w:basedOn w:val="Normal"/>
    <w:uiPriority w:val="34"/>
    <w:rsid w:val="00585F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85FAB"/>
    <w:rPr>
      <w:rFonts w:ascii="Arial" w:eastAsiaTheme="majorEastAsia" w:hAnsi="Arial" w:cstheme="majorBidi"/>
      <w:color w:val="041C2C" w:themeColor="background2" w:themeShade="1A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FAB"/>
    <w:rPr>
      <w:rFonts w:asciiTheme="majorHAnsi" w:eastAsiaTheme="majorEastAsia" w:hAnsiTheme="majorHAnsi" w:cstheme="majorBidi"/>
      <w:caps/>
      <w:color w:val="002E4E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FAB"/>
    <w:rPr>
      <w:rFonts w:asciiTheme="majorHAnsi" w:eastAsiaTheme="majorEastAsia" w:hAnsiTheme="majorHAnsi" w:cstheme="majorBidi"/>
      <w:i/>
      <w:iCs/>
      <w:caps/>
      <w:color w:val="001E34" w:themeColor="accent1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FAB"/>
    <w:rPr>
      <w:rFonts w:asciiTheme="majorHAnsi" w:eastAsiaTheme="majorEastAsia" w:hAnsiTheme="majorHAnsi" w:cstheme="majorBidi"/>
      <w:b/>
      <w:bCs/>
      <w:color w:val="001E34" w:themeColor="accent1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FAB"/>
    <w:rPr>
      <w:rFonts w:asciiTheme="majorHAnsi" w:eastAsiaTheme="majorEastAsia" w:hAnsiTheme="majorHAnsi" w:cstheme="majorBidi"/>
      <w:b/>
      <w:bCs/>
      <w:i/>
      <w:iCs/>
      <w:color w:val="001E34" w:themeColor="accent1" w:themeShade="80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FAB"/>
    <w:rPr>
      <w:rFonts w:asciiTheme="majorHAnsi" w:eastAsiaTheme="majorEastAsia" w:hAnsiTheme="majorHAnsi" w:cstheme="majorBidi"/>
      <w:i/>
      <w:iCs/>
      <w:color w:val="001E34" w:themeColor="accent1" w:themeShade="80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585FAB"/>
    <w:pPr>
      <w:spacing w:before="160" w:line="280" w:lineRule="atLeast"/>
    </w:pPr>
    <w:rPr>
      <w:bCs/>
      <w:color w:val="808080" w:themeColor="background1" w:themeShade="80"/>
      <w:sz w:val="20"/>
    </w:rPr>
  </w:style>
  <w:style w:type="paragraph" w:styleId="Subtitle">
    <w:name w:val="Subtitle"/>
    <w:basedOn w:val="Normal"/>
    <w:next w:val="Normal"/>
    <w:link w:val="SubtitleChar"/>
    <w:uiPriority w:val="8"/>
    <w:qFormat/>
    <w:rsid w:val="00585FAB"/>
    <w:pPr>
      <w:numPr>
        <w:ilvl w:val="1"/>
      </w:numPr>
      <w:spacing w:before="0" w:line="520" w:lineRule="exact"/>
    </w:pPr>
    <w:rPr>
      <w:rFonts w:eastAsiaTheme="majorEastAsia" w:cstheme="majorBidi"/>
      <w:color w:val="041C2C" w:themeColor="background2" w:themeShade="1A"/>
      <w:sz w:val="44"/>
      <w:szCs w:val="28"/>
    </w:rPr>
  </w:style>
  <w:style w:type="character" w:customStyle="1" w:styleId="SubtitleChar">
    <w:name w:val="Subtitle Char"/>
    <w:basedOn w:val="DefaultParagraphFont"/>
    <w:link w:val="Subtitle"/>
    <w:uiPriority w:val="8"/>
    <w:rsid w:val="00585FAB"/>
    <w:rPr>
      <w:rFonts w:ascii="Arial" w:eastAsiaTheme="majorEastAsia" w:hAnsi="Arial" w:cstheme="majorBidi"/>
      <w:color w:val="041C2C" w:themeColor="background2" w:themeShade="1A"/>
      <w:sz w:val="44"/>
      <w:szCs w:val="28"/>
    </w:rPr>
  </w:style>
  <w:style w:type="character" w:styleId="Strong">
    <w:name w:val="Strong"/>
    <w:basedOn w:val="DefaultParagraphFont"/>
    <w:uiPriority w:val="22"/>
    <w:qFormat/>
    <w:rsid w:val="00585FAB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585FA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85FAB"/>
    <w:pPr>
      <w:spacing w:before="480" w:after="480"/>
      <w:jc w:val="center"/>
    </w:pPr>
    <w:rPr>
      <w:i/>
      <w:color w:val="003E69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85FAB"/>
    <w:rPr>
      <w:rFonts w:ascii="Arial" w:hAnsi="Arial"/>
      <w:i/>
      <w:color w:val="003E69" w:themeColor="text2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85FAB"/>
    <w:rPr>
      <w:i/>
      <w:iCs/>
      <w:color w:val="324B5E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85FAB"/>
    <w:rPr>
      <w:caps w:val="0"/>
      <w:smallCaps w:val="0"/>
      <w:color w:val="324B5E" w:themeColor="text1" w:themeTint="BF"/>
      <w:u w:val="none" w:color="5F89AA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85FAB"/>
    <w:rPr>
      <w:b/>
      <w:bCs/>
      <w:i/>
      <w:caps w:val="0"/>
      <w:smallCaps w:val="0"/>
      <w:color w:val="003E69" w:themeColor="text2"/>
      <w:u w:val="none"/>
    </w:rPr>
  </w:style>
  <w:style w:type="character" w:styleId="BookTitle">
    <w:name w:val="Book Title"/>
    <w:basedOn w:val="DefaultParagraphFont"/>
    <w:uiPriority w:val="33"/>
    <w:qFormat/>
    <w:locked/>
    <w:rsid w:val="00B56AB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585FAB"/>
    <w:pPr>
      <w:spacing w:line="520" w:lineRule="atLeast"/>
      <w:outlineLvl w:val="9"/>
    </w:pPr>
    <w:rPr>
      <w:color w:val="041C2C" w:themeColor="background2" w:themeShade="1A"/>
      <w:sz w:val="44"/>
    </w:rPr>
  </w:style>
  <w:style w:type="table" w:styleId="TableGrid">
    <w:name w:val="Table Grid"/>
    <w:basedOn w:val="TableNormal"/>
    <w:locked/>
    <w:rsid w:val="0058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MR">
    <w:name w:val="TMR"/>
    <w:basedOn w:val="TableNormal"/>
    <w:uiPriority w:val="99"/>
    <w:rsid w:val="003533A6"/>
    <w:pPr>
      <w:spacing w:after="0" w:line="240" w:lineRule="auto"/>
    </w:pPr>
    <w:tblPr>
      <w:tblStyleRowBandSize w:val="1"/>
    </w:tblPr>
    <w:tblStylePr w:type="firstRow">
      <w:tblPr/>
      <w:tcPr>
        <w:tcBorders>
          <w:top w:val="nil"/>
          <w:left w:val="nil"/>
          <w:bottom w:val="nil"/>
          <w:right w:val="nil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003E69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</w:tcBorders>
        <w:shd w:val="clear" w:color="auto" w:fill="003E69"/>
      </w:tcPr>
    </w:tblStylePr>
    <w:tblStylePr w:type="band1Horz">
      <w:tblPr/>
      <w:tcPr>
        <w:shd w:val="clear" w:color="auto" w:fill="ECF6FD"/>
      </w:tcPr>
    </w:tblStylePr>
  </w:style>
  <w:style w:type="paragraph" w:styleId="Title">
    <w:name w:val="Title"/>
    <w:basedOn w:val="Heading1"/>
    <w:next w:val="Normal"/>
    <w:link w:val="TitleChar"/>
    <w:uiPriority w:val="9"/>
    <w:qFormat/>
    <w:locked/>
    <w:rsid w:val="00585FAB"/>
    <w:pPr>
      <w:spacing w:before="0" w:line="240" w:lineRule="auto"/>
      <w:contextualSpacing/>
    </w:pPr>
    <w:rPr>
      <w:rFonts w:asciiTheme="majorHAnsi" w:hAnsiTheme="majorHAnsi"/>
      <w:b/>
      <w:color w:val="003E69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9"/>
    <w:rsid w:val="00585FAB"/>
    <w:rPr>
      <w:rFonts w:asciiTheme="majorHAnsi" w:eastAsiaTheme="majorEastAsia" w:hAnsiTheme="majorHAnsi" w:cstheme="majorBidi"/>
      <w:b/>
      <w:color w:val="003E69" w:themeColor="accent1"/>
      <w:spacing w:val="-10"/>
      <w:kern w:val="28"/>
      <w:sz w:val="72"/>
      <w:szCs w:val="56"/>
    </w:rPr>
  </w:style>
  <w:style w:type="paragraph" w:styleId="NoSpacing">
    <w:name w:val="No Spacing"/>
    <w:link w:val="NoSpacingChar"/>
    <w:uiPriority w:val="1"/>
    <w:qFormat/>
    <w:locked/>
    <w:rsid w:val="00585FAB"/>
    <w:pPr>
      <w:spacing w:after="0" w:line="240" w:lineRule="auto"/>
    </w:pPr>
    <w:rPr>
      <w:rFonts w:ascii="Arial" w:hAnsi="Arial"/>
      <w:color w:val="18242E" w:themeColor="text1" w:themeTint="E6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9280E"/>
    <w:rPr>
      <w:rFonts w:ascii="Arial" w:hAnsi="Arial"/>
      <w:color w:val="18242E" w:themeColor="text1" w:themeTint="E6"/>
      <w:sz w:val="24"/>
    </w:rPr>
  </w:style>
  <w:style w:type="character" w:customStyle="1" w:styleId="ui-provider">
    <w:name w:val="ui-provider"/>
    <w:basedOn w:val="DefaultParagraphFont"/>
    <w:rsid w:val="00EB3C3D"/>
  </w:style>
  <w:style w:type="paragraph" w:customStyle="1" w:styleId="FigureCaption">
    <w:name w:val="Figure Caption"/>
    <w:basedOn w:val="Caption"/>
    <w:next w:val="Normal"/>
    <w:qFormat/>
    <w:rsid w:val="00585FAB"/>
    <w:pPr>
      <w:keepNext/>
      <w:spacing w:before="320"/>
    </w:pPr>
    <w:rPr>
      <w:b/>
      <w:color w:val="324B5E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585FAB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585FAB"/>
  </w:style>
  <w:style w:type="paragraph" w:styleId="BlockText">
    <w:name w:val="Block Text"/>
    <w:basedOn w:val="Normal"/>
    <w:uiPriority w:val="99"/>
    <w:unhideWhenUsed/>
    <w:rsid w:val="00585FAB"/>
    <w:pPr>
      <w:framePr w:wrap="around" w:vAnchor="text" w:hAnchor="text" w:y="1"/>
      <w:pBdr>
        <w:top w:val="single" w:sz="2" w:space="8" w:color="AFC4D4" w:themeColor="text1" w:themeTint="40"/>
        <w:left w:val="single" w:sz="2" w:space="8" w:color="AFC4D4" w:themeColor="text1" w:themeTint="40"/>
        <w:bottom w:val="single" w:sz="2" w:space="8" w:color="AFC4D4" w:themeColor="text1" w:themeTint="40"/>
        <w:right w:val="single" w:sz="2" w:space="8" w:color="AFC4D4" w:themeColor="text1" w:themeTint="40"/>
      </w:pBdr>
      <w:ind w:left="640" w:right="640"/>
    </w:pPr>
    <w:rPr>
      <w:rFonts w:asciiTheme="minorHAnsi" w:eastAsiaTheme="minorEastAsia" w:hAnsiTheme="minorHAnsi"/>
      <w:iCs/>
      <w:color w:val="041C2C" w:themeColor="background2" w:themeShade="1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5FAB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5FAB"/>
    <w:rPr>
      <w:rFonts w:ascii="Consolas" w:hAnsi="Consolas"/>
      <w:color w:val="18242E" w:themeColor="text1" w:themeTint="E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5FAB"/>
    <w:rPr>
      <w:color w:val="0000FF"/>
      <w:u w:val="single"/>
    </w:rPr>
  </w:style>
  <w:style w:type="paragraph" w:styleId="List">
    <w:name w:val="List"/>
    <w:basedOn w:val="Normal"/>
    <w:uiPriority w:val="99"/>
    <w:unhideWhenUsed/>
    <w:rsid w:val="00585FAB"/>
    <w:pPr>
      <w:spacing w:before="160"/>
      <w:ind w:left="318"/>
      <w:contextualSpacing/>
    </w:pPr>
  </w:style>
  <w:style w:type="paragraph" w:styleId="List2">
    <w:name w:val="List 2"/>
    <w:basedOn w:val="Normal"/>
    <w:uiPriority w:val="99"/>
    <w:unhideWhenUsed/>
    <w:rsid w:val="00585FAB"/>
    <w:pPr>
      <w:spacing w:before="160"/>
      <w:ind w:left="879"/>
      <w:contextualSpacing/>
    </w:pPr>
  </w:style>
  <w:style w:type="paragraph" w:styleId="List3">
    <w:name w:val="List 3"/>
    <w:basedOn w:val="Normal"/>
    <w:uiPriority w:val="99"/>
    <w:unhideWhenUsed/>
    <w:rsid w:val="00585FAB"/>
    <w:pPr>
      <w:spacing w:before="160"/>
      <w:ind w:left="1480"/>
      <w:contextualSpacing/>
    </w:pPr>
  </w:style>
  <w:style w:type="paragraph" w:styleId="List4">
    <w:name w:val="List 4"/>
    <w:basedOn w:val="Normal"/>
    <w:uiPriority w:val="99"/>
    <w:unhideWhenUsed/>
    <w:rsid w:val="00585FAB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585FAB"/>
    <w:pPr>
      <w:ind w:left="1415" w:hanging="283"/>
      <w:contextualSpacing/>
    </w:pPr>
  </w:style>
  <w:style w:type="paragraph" w:styleId="ListContinue5">
    <w:name w:val="List Continue 5"/>
    <w:basedOn w:val="Normal"/>
    <w:uiPriority w:val="99"/>
    <w:unhideWhenUsed/>
    <w:rsid w:val="00585FAB"/>
    <w:pPr>
      <w:spacing w:after="120"/>
      <w:ind w:left="1415"/>
      <w:contextualSpacing/>
    </w:pPr>
  </w:style>
  <w:style w:type="table" w:styleId="ListTable3-Accent1">
    <w:name w:val="List Table 3 Accent 1"/>
    <w:basedOn w:val="TableNormal"/>
    <w:uiPriority w:val="48"/>
    <w:locked/>
    <w:rsid w:val="00585FAB"/>
    <w:pPr>
      <w:spacing w:after="0" w:line="240" w:lineRule="auto"/>
    </w:pPr>
    <w:tblPr>
      <w:tblStyleRowBandSize w:val="1"/>
      <w:tblStyleColBandSize w:val="1"/>
      <w:tblBorders>
        <w:top w:val="single" w:sz="4" w:space="0" w:color="003E69" w:themeColor="accent1"/>
        <w:left w:val="single" w:sz="4" w:space="0" w:color="003E69" w:themeColor="accent1"/>
        <w:bottom w:val="single" w:sz="4" w:space="0" w:color="003E69" w:themeColor="accent1"/>
        <w:right w:val="single" w:sz="4" w:space="0" w:color="003E6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E69" w:themeFill="accent1"/>
      </w:tcPr>
    </w:tblStylePr>
    <w:tblStylePr w:type="lastRow">
      <w:rPr>
        <w:b/>
        <w:bCs/>
      </w:rPr>
      <w:tblPr/>
      <w:tcPr>
        <w:tcBorders>
          <w:top w:val="double" w:sz="4" w:space="0" w:color="003E6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E69" w:themeColor="accent1"/>
          <w:right w:val="single" w:sz="4" w:space="0" w:color="003E69" w:themeColor="accent1"/>
        </w:tcBorders>
      </w:tcPr>
    </w:tblStylePr>
    <w:tblStylePr w:type="band1Horz">
      <w:tblPr/>
      <w:tcPr>
        <w:tcBorders>
          <w:top w:val="single" w:sz="4" w:space="0" w:color="003E69" w:themeColor="accent1"/>
          <w:bottom w:val="single" w:sz="4" w:space="0" w:color="003E6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E69" w:themeColor="accent1"/>
          <w:left w:val="nil"/>
        </w:tcBorders>
      </w:tcPr>
    </w:tblStylePr>
    <w:tblStylePr w:type="swCell">
      <w:tblPr/>
      <w:tcPr>
        <w:tcBorders>
          <w:top w:val="double" w:sz="4" w:space="0" w:color="003E69" w:themeColor="accent1"/>
          <w:right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585FAB"/>
    <w:pPr>
      <w:pBdr>
        <w:top w:val="single" w:sz="6" w:space="8" w:color="AFC4D4" w:themeColor="text1" w:themeTint="40"/>
        <w:left w:val="single" w:sz="6" w:space="8" w:color="AFC4D4" w:themeColor="text1" w:themeTint="40"/>
        <w:bottom w:val="single" w:sz="6" w:space="8" w:color="AFC4D4" w:themeColor="text1" w:themeTint="40"/>
        <w:right w:val="single" w:sz="6" w:space="8" w:color="AFC4D4" w:themeColor="text1" w:themeTint="40"/>
      </w:pBdr>
      <w:shd w:val="clear" w:color="auto" w:fill="ECF6FD" w:themeFill="background2"/>
      <w:spacing w:before="480" w:after="4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85FAB"/>
    <w:rPr>
      <w:rFonts w:asciiTheme="majorHAnsi" w:eastAsiaTheme="majorEastAsia" w:hAnsiTheme="majorHAnsi" w:cstheme="majorBidi"/>
      <w:color w:val="18242E" w:themeColor="text1" w:themeTint="E6"/>
      <w:sz w:val="24"/>
      <w:szCs w:val="24"/>
      <w:shd w:val="clear" w:color="auto" w:fill="ECF6FD" w:themeFill="background2"/>
    </w:rPr>
  </w:style>
  <w:style w:type="paragraph" w:styleId="NormalWeb">
    <w:name w:val="Normal (Web)"/>
    <w:basedOn w:val="Normal"/>
    <w:uiPriority w:val="99"/>
    <w:semiHidden/>
    <w:unhideWhenUsed/>
    <w:rsid w:val="0058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qg-blank-notice">
    <w:name w:val="qg-blank-notice"/>
    <w:basedOn w:val="DefaultParagraphFont"/>
    <w:rsid w:val="00585FAB"/>
  </w:style>
  <w:style w:type="paragraph" w:styleId="TableofAuthorities">
    <w:name w:val="table of authorities"/>
    <w:basedOn w:val="Normal"/>
    <w:next w:val="Normal"/>
    <w:uiPriority w:val="99"/>
    <w:unhideWhenUsed/>
    <w:rsid w:val="00585FA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585FAB"/>
  </w:style>
  <w:style w:type="table" w:customStyle="1" w:styleId="TMRDefault">
    <w:name w:val="TMR – Default"/>
    <w:basedOn w:val="TableNormal"/>
    <w:uiPriority w:val="99"/>
    <w:rsid w:val="00585FAB"/>
    <w:pPr>
      <w:spacing w:after="0" w:line="240" w:lineRule="atLeast"/>
    </w:pPr>
    <w:rPr>
      <w:color w:val="001E34" w:themeColor="text2" w:themeShade="80"/>
      <w:sz w:val="20"/>
    </w:rPr>
    <w:tblPr>
      <w:tblStyleRowBandSize w:val="1"/>
      <w:tblBorders>
        <w:top w:val="dotted" w:sz="4" w:space="0" w:color="324B5E" w:themeColor="text1" w:themeTint="BF"/>
        <w:left w:val="dotted" w:sz="4" w:space="0" w:color="324B5E" w:themeColor="text1" w:themeTint="BF"/>
        <w:bottom w:val="dotted" w:sz="4" w:space="0" w:color="324B5E" w:themeColor="text1" w:themeTint="BF"/>
        <w:right w:val="dotted" w:sz="4" w:space="0" w:color="324B5E" w:themeColor="text1" w:themeTint="BF"/>
        <w:insideH w:val="dotted" w:sz="4" w:space="0" w:color="324B5E" w:themeColor="text1" w:themeTint="BF"/>
        <w:insideV w:val="dotted" w:sz="4" w:space="0" w:color="324B5E" w:themeColor="text1" w:themeTint="BF"/>
      </w:tblBorders>
    </w:tblPr>
    <w:tcPr>
      <w:tcMar>
        <w:top w:w="159" w:type="dxa"/>
        <w:left w:w="159" w:type="dxa"/>
        <w:bottom w:w="160" w:type="dxa"/>
        <w:right w:w="159" w:type="dxa"/>
      </w:tcMar>
    </w:tcPr>
    <w:tblStylePr w:type="firstRow">
      <w:rPr>
        <w:b/>
        <w:color w:val="ECF6FD" w:themeColor="background2"/>
      </w:rPr>
      <w:tblPr/>
      <w:tcPr>
        <w:tcBorders>
          <w:top w:val="nil"/>
          <w:left w:val="nil"/>
          <w:bottom w:val="nil"/>
          <w:right w:val="nil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003E69"/>
      </w:tcPr>
    </w:tblStylePr>
    <w:tblStylePr w:type="lastRow">
      <w:rPr>
        <w:rFonts w:ascii="Arial" w:hAnsi="Arial"/>
        <w:b/>
        <w:sz w:val="20"/>
      </w:rPr>
      <w:tblPr/>
      <w:tcPr>
        <w:tcBorders>
          <w:top w:val="thinThickSmallGap" w:sz="12" w:space="0" w:color="324B5E" w:themeColor="text1" w:themeTint="BF"/>
        </w:tcBorders>
        <w:shd w:val="clear" w:color="auto" w:fill="FFFFFF" w:themeFill="background1"/>
      </w:tcPr>
    </w:tblStylePr>
    <w:tblStylePr w:type="band1Horz">
      <w:tblPr/>
      <w:tcPr>
        <w:shd w:val="clear" w:color="auto" w:fill="ECF6FD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585FAB"/>
    <w:pPr>
      <w:tabs>
        <w:tab w:val="right" w:leader="dot" w:pos="9060"/>
      </w:tabs>
      <w:spacing w:before="80"/>
    </w:pPr>
  </w:style>
  <w:style w:type="paragraph" w:styleId="TOC2">
    <w:name w:val="toc 2"/>
    <w:basedOn w:val="Normal"/>
    <w:next w:val="Normal"/>
    <w:autoRedefine/>
    <w:uiPriority w:val="39"/>
    <w:unhideWhenUsed/>
    <w:rsid w:val="00585FAB"/>
    <w:pPr>
      <w:spacing w:before="80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585FAB"/>
    <w:pPr>
      <w:spacing w:before="80"/>
      <w:ind w:left="482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85FAB"/>
    <w:pPr>
      <w:spacing w:before="8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85FAB"/>
    <w:pPr>
      <w:spacing w:before="80"/>
      <w:ind w:left="95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85FAB"/>
    <w:pPr>
      <w:spacing w:before="80"/>
      <w:ind w:left="1202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85FAB"/>
    <w:pPr>
      <w:spacing w:before="8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85FAB"/>
    <w:pPr>
      <w:spacing w:before="80"/>
      <w:ind w:left="1678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85FAB"/>
    <w:pPr>
      <w:spacing w:before="80"/>
      <w:ind w:left="1922"/>
    </w:pPr>
  </w:style>
  <w:style w:type="paragraph" w:customStyle="1" w:styleId="Default">
    <w:name w:val="Default"/>
    <w:rsid w:val="00CA60F5"/>
    <w:pPr>
      <w:autoSpaceDE w:val="0"/>
      <w:autoSpaceDN w:val="0"/>
      <w:adjustRightInd w:val="0"/>
      <w:spacing w:after="0" w:line="240" w:lineRule="auto"/>
    </w:pPr>
    <w:rPr>
      <w:rFonts w:ascii="MetaPro-Norm" w:hAnsi="MetaPro-Norm" w:cs="MetaPro-Norm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5A7E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5A7E"/>
    <w:rPr>
      <w:rFonts w:ascii="Arial" w:hAnsi="Arial"/>
      <w:color w:val="18242E" w:themeColor="text1" w:themeTint="E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5A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TMR Colours">
      <a:dk1>
        <a:srgbClr val="080C0F"/>
      </a:dk1>
      <a:lt1>
        <a:sysClr val="window" lastClr="FFFFFF"/>
      </a:lt1>
      <a:dk2>
        <a:srgbClr val="003E69"/>
      </a:dk2>
      <a:lt2>
        <a:srgbClr val="ECF6FD"/>
      </a:lt2>
      <a:accent1>
        <a:srgbClr val="003E69"/>
      </a:accent1>
      <a:accent2>
        <a:srgbClr val="071E30"/>
      </a:accent2>
      <a:accent3>
        <a:srgbClr val="85C446"/>
      </a:accent3>
      <a:accent4>
        <a:srgbClr val="E08724"/>
      </a:accent4>
      <a:accent5>
        <a:srgbClr val="9C1D37"/>
      </a:accent5>
      <a:accent6>
        <a:srgbClr val="830E26"/>
      </a:accent6>
      <a:hlink>
        <a:srgbClr val="0563C1"/>
      </a:hlink>
      <a:folHlink>
        <a:srgbClr val="0563C1"/>
      </a:folHlink>
    </a:clrScheme>
    <a:fontScheme name="TMR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FB130-02EE-47ED-84D9-ADB0DB5C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Level Crossing Safety Action Plan 2024-2026</dc:title>
  <dc:subject/>
  <dc:creator/>
  <cp:keywords/>
  <dc:description/>
  <cp:lastModifiedBy/>
  <cp:revision>1</cp:revision>
  <dcterms:created xsi:type="dcterms:W3CDTF">2024-08-08T23:42:00Z</dcterms:created>
  <dcterms:modified xsi:type="dcterms:W3CDTF">2024-08-08T23:42:00Z</dcterms:modified>
</cp:coreProperties>
</file>