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373"/>
        <w:gridCol w:w="2103"/>
      </w:tblGrid>
      <w:tr w:rsidR="003861E9" w14:paraId="610CFA33" w14:textId="77777777" w:rsidTr="000157C6">
        <w:trPr>
          <w:trHeight w:val="136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B7D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F732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6464C" wp14:editId="67A3C0B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46EAF81" w14:textId="77777777" w:rsidTr="000157C6">
        <w:trPr>
          <w:trHeight w:val="426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69D7" w14:textId="2F158B19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5773AC">
              <w:rPr>
                <w:b/>
                <w:sz w:val="40"/>
                <w:szCs w:val="40"/>
              </w:rPr>
              <w:t>100.2</w:t>
            </w:r>
            <w:r w:rsidR="004A244E">
              <w:rPr>
                <w:b/>
                <w:sz w:val="40"/>
                <w:szCs w:val="40"/>
              </w:rPr>
              <w:t xml:space="preserve"> </w:t>
            </w:r>
            <w:r w:rsidR="004A244E" w:rsidRPr="005773AC">
              <w:rPr>
                <w:b/>
                <w:sz w:val="32"/>
                <w:szCs w:val="40"/>
              </w:rPr>
              <w:t>(July 2019)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44BD9" w14:textId="77777777" w:rsidR="003861E9" w:rsidRDefault="003861E9" w:rsidP="003000CD">
            <w:pPr>
              <w:pStyle w:val="BodyText"/>
            </w:pPr>
          </w:p>
        </w:tc>
      </w:tr>
      <w:tr w:rsidR="003861E9" w14:paraId="4D3B4038" w14:textId="77777777" w:rsidTr="000157C6"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FC261" w14:textId="77777777" w:rsidR="003861E9" w:rsidRPr="005C5D5E" w:rsidRDefault="005C5D5E" w:rsidP="005C5D5E">
            <w:pPr>
              <w:pStyle w:val="BodyText"/>
            </w:pPr>
            <w:r w:rsidRPr="005C5D5E">
              <w:rPr>
                <w:b/>
                <w:sz w:val="40"/>
                <w:szCs w:val="40"/>
              </w:rPr>
              <w:t>High Strength Geosynthetic Reinforcement in Road Embankment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0C6E6" w14:textId="77777777" w:rsidR="003861E9" w:rsidRDefault="003861E9" w:rsidP="003000CD">
            <w:pPr>
              <w:pStyle w:val="BodyText"/>
            </w:pPr>
          </w:p>
        </w:tc>
      </w:tr>
      <w:tr w:rsidR="003861E9" w14:paraId="4262D2CE" w14:textId="77777777" w:rsidTr="000157C6">
        <w:trPr>
          <w:trHeight w:val="257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75F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870F9" w14:textId="77777777" w:rsidR="003861E9" w:rsidRDefault="003861E9" w:rsidP="003000CD">
            <w:pPr>
              <w:pStyle w:val="BodyText"/>
            </w:pPr>
          </w:p>
        </w:tc>
      </w:tr>
      <w:tr w:rsidR="003861E9" w14:paraId="0F7B8AD0" w14:textId="77777777" w:rsidTr="000157C6">
        <w:trPr>
          <w:trHeight w:val="267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DF436" w14:textId="77777777" w:rsidR="003861E9" w:rsidRPr="00070033" w:rsidRDefault="005C5D5E" w:rsidP="003000CD"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Documents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EB17B" w14:textId="77777777" w:rsidR="003861E9" w:rsidRDefault="003861E9" w:rsidP="003000CD">
            <w:pPr>
              <w:pStyle w:val="BodyText"/>
            </w:pPr>
          </w:p>
        </w:tc>
      </w:tr>
      <w:tr w:rsidR="003861E9" w14:paraId="5E390A38" w14:textId="77777777" w:rsidTr="000157C6"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8F9D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5BAB8" w14:textId="77777777" w:rsidR="003861E9" w:rsidRDefault="003861E9" w:rsidP="003000CD">
            <w:pPr>
              <w:pStyle w:val="BodyText"/>
            </w:pPr>
          </w:p>
        </w:tc>
      </w:tr>
      <w:tr w:rsidR="003861E9" w14:paraId="0D763366" w14:textId="77777777" w:rsidTr="000157C6"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9FD5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A71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C3E" w14:textId="77777777" w:rsidR="003861E9" w:rsidRDefault="003861E9" w:rsidP="003000CD">
            <w:pPr>
              <w:pStyle w:val="BodyText"/>
            </w:pPr>
          </w:p>
        </w:tc>
      </w:tr>
    </w:tbl>
    <w:p w14:paraId="0A9E809D" w14:textId="77777777" w:rsidR="005C5D5E" w:rsidRPr="005773AC" w:rsidRDefault="005C5D5E" w:rsidP="005C5D5E">
      <w:pPr>
        <w:pStyle w:val="BodyText"/>
        <w:spacing w:before="240"/>
        <w:rPr>
          <w:szCs w:val="20"/>
        </w:rPr>
      </w:pPr>
      <w:r w:rsidRPr="005773AC">
        <w:rPr>
          <w:szCs w:val="20"/>
        </w:rPr>
        <w:t>Refer to Clause 5.5.</w:t>
      </w:r>
    </w:p>
    <w:p w14:paraId="7DB8AF1E" w14:textId="50AD4362" w:rsidR="005C5D5E" w:rsidRPr="003B590D" w:rsidRDefault="005C5D5E" w:rsidP="005C5D5E">
      <w:pPr>
        <w:pStyle w:val="BodyText"/>
        <w:rPr>
          <w:szCs w:val="20"/>
        </w:rPr>
      </w:pPr>
      <w:r w:rsidRPr="003B590D">
        <w:rPr>
          <w:szCs w:val="20"/>
        </w:rPr>
        <w:t xml:space="preserve">The following documents are a summary of documents that must be included in the Project Quality Plan. The requirements of this </w:t>
      </w:r>
      <w:r w:rsidR="00235729">
        <w:rPr>
          <w:szCs w:val="20"/>
        </w:rPr>
        <w:t xml:space="preserve">Technical </w:t>
      </w:r>
      <w:r w:rsidRPr="003B590D">
        <w:rPr>
          <w:szCs w:val="20"/>
        </w:rPr>
        <w:t>Specification and others included in the Contract must be reviewed to determine additional documentation requirements.</w:t>
      </w:r>
    </w:p>
    <w:p w14:paraId="312318EC" w14:textId="77777777" w:rsidR="005C5D5E" w:rsidRPr="003B590D" w:rsidRDefault="005C5D5E" w:rsidP="005C5D5E">
      <w:pPr>
        <w:pStyle w:val="BodyText"/>
        <w:rPr>
          <w:szCs w:val="20"/>
        </w:rPr>
      </w:pPr>
      <w:r w:rsidRPr="003B590D">
        <w:rPr>
          <w:szCs w:val="20"/>
        </w:rPr>
        <w:t>The information to be supplied by the Contractor as part of the Project Quality Plan must include, but not be limited, to the following:</w:t>
      </w:r>
    </w:p>
    <w:p w14:paraId="2A7FD580" w14:textId="77777777" w:rsidR="005C5D5E" w:rsidRPr="003B590D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>design/manufacture information in respect of particular construction requirements and Certificate of compliance (Clauses 6.3 and 6.4)</w:t>
      </w:r>
    </w:p>
    <w:p w14:paraId="052E5915" w14:textId="77777777" w:rsidR="005C5D5E" w:rsidRPr="003B590D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>details of method of packaging, delivery and storage (Clause 7)</w:t>
      </w:r>
    </w:p>
    <w:p w14:paraId="5E1C3C57" w14:textId="77777777" w:rsidR="005C5D5E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>the construction plant to be used for laying and covering the reinforcement and any restrictions on construction plant (Clause 8.1), and</w:t>
      </w:r>
    </w:p>
    <w:p w14:paraId="7C43BAE8" w14:textId="77777777" w:rsidR="0003466A" w:rsidRDefault="005C5D5E" w:rsidP="005C5D5E">
      <w:pPr>
        <w:pStyle w:val="BodyText"/>
        <w:numPr>
          <w:ilvl w:val="0"/>
          <w:numId w:val="13"/>
        </w:numPr>
      </w:pPr>
      <w:r w:rsidRPr="005C5D5E">
        <w:rPr>
          <w:szCs w:val="20"/>
        </w:rPr>
        <w:t>method of filling and compaction over installed reinforcement (Clause 8.1).</w:t>
      </w: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0620" w14:textId="77777777" w:rsidR="00EF2FDD" w:rsidRDefault="00EF2FDD">
      <w:r>
        <w:separator/>
      </w:r>
    </w:p>
    <w:p w14:paraId="3C2ED0C4" w14:textId="77777777" w:rsidR="00EF2FDD" w:rsidRDefault="00EF2FDD"/>
  </w:endnote>
  <w:endnote w:type="continuationSeparator" w:id="0">
    <w:p w14:paraId="3F998C3E" w14:textId="77777777" w:rsidR="00EF2FDD" w:rsidRDefault="00EF2FDD">
      <w:r>
        <w:continuationSeparator/>
      </w:r>
    </w:p>
    <w:p w14:paraId="00A60DB4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3D10" w14:textId="77777777" w:rsidR="00BC1243" w:rsidRDefault="00BC1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5143" w14:textId="576EDDB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C5D5E">
      <w:t>July 201</w:t>
    </w:r>
    <w:r w:rsidR="004A244E">
      <w:t>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558D7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1A74" w14:textId="77777777" w:rsidR="00BC1243" w:rsidRDefault="00BC1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6258" w14:textId="77777777" w:rsidR="00EF2FDD" w:rsidRDefault="00EF2FDD">
      <w:r>
        <w:separator/>
      </w:r>
    </w:p>
    <w:p w14:paraId="46299100" w14:textId="77777777" w:rsidR="00EF2FDD" w:rsidRDefault="00EF2FDD"/>
  </w:footnote>
  <w:footnote w:type="continuationSeparator" w:id="0">
    <w:p w14:paraId="4DDD2AD8" w14:textId="77777777" w:rsidR="00EF2FDD" w:rsidRDefault="00EF2FDD">
      <w:r>
        <w:continuationSeparator/>
      </w:r>
    </w:p>
    <w:p w14:paraId="38C183C0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FB94" w14:textId="0B6D4762" w:rsidR="00BC1243" w:rsidRDefault="00BC1243">
    <w:pPr>
      <w:pStyle w:val="Header"/>
    </w:pPr>
    <w:r>
      <w:rPr>
        <w:noProof/>
      </w:rPr>
      <w:pict w14:anchorId="685B23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92766" o:spid="_x0000_s8499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1F6F" w14:textId="6F60004B" w:rsidR="00CE3694" w:rsidRPr="005C5D5E" w:rsidRDefault="00BC1243" w:rsidP="00626569">
    <w:pPr>
      <w:pStyle w:val="HeaderChapterpart"/>
    </w:pPr>
    <w:r>
      <w:rPr>
        <w:noProof/>
      </w:rPr>
      <w:pict w14:anchorId="32011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92767" o:spid="_x0000_s8499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5C5D5E" w:rsidRPr="006A3DE9">
      <w:t>Technical S</w:t>
    </w:r>
    <w:r w:rsidR="005C5D5E">
      <w:t>pecification Annexure, MRTS100.</w:t>
    </w:r>
    <w:r w:rsidR="005773AC">
      <w:t>2</w:t>
    </w:r>
    <w:r w:rsidR="005C5D5E">
      <w:t xml:space="preserve"> High Strength Geosynthetic Reinforcement in Road Embankments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A488" w14:textId="230404B0" w:rsidR="00BC1243" w:rsidRDefault="00BC1243">
    <w:pPr>
      <w:pStyle w:val="Header"/>
    </w:pPr>
    <w:r>
      <w:rPr>
        <w:noProof/>
      </w:rPr>
      <w:pict w14:anchorId="308CC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92765" o:spid="_x0000_s8499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7486BE3"/>
    <w:multiLevelType w:val="multilevel"/>
    <w:tmpl w:val="168C5AE8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6"/>
    <o:shapelayout v:ext="edit">
      <o:idmap v:ext="edit" data="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35729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A244E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773AC"/>
    <w:rsid w:val="005815CB"/>
    <w:rsid w:val="00582599"/>
    <w:rsid w:val="005826B9"/>
    <w:rsid w:val="00582E91"/>
    <w:rsid w:val="00592D85"/>
    <w:rsid w:val="0059511F"/>
    <w:rsid w:val="005C1DF1"/>
    <w:rsid w:val="005C5D5E"/>
    <w:rsid w:val="005D3973"/>
    <w:rsid w:val="005D59C0"/>
    <w:rsid w:val="005F4F3D"/>
    <w:rsid w:val="0060080E"/>
    <w:rsid w:val="0061185E"/>
    <w:rsid w:val="00614210"/>
    <w:rsid w:val="00614FEC"/>
    <w:rsid w:val="00622BC5"/>
    <w:rsid w:val="00626569"/>
    <w:rsid w:val="00627EC8"/>
    <w:rsid w:val="00635475"/>
    <w:rsid w:val="00641639"/>
    <w:rsid w:val="00645A39"/>
    <w:rsid w:val="0064699C"/>
    <w:rsid w:val="00650F4E"/>
    <w:rsid w:val="006558D7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243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5B78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6"/>
    <o:shapelayout v:ext="edit">
      <o:idmap v:ext="edit" data="1"/>
    </o:shapelayout>
  </w:shapeDefaults>
  <w:decimalSymbol w:val="."/>
  <w:listSeparator w:val=","/>
  <w14:docId w14:val="140939B9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4A24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44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A24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A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4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20</TotalTime>
  <Pages>1</Pages>
  <Words>141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MRTS100.2 - Annexure</vt:lpstr>
    </vt:vector>
  </TitlesOfParts>
  <Company>Department of Transport and Main Roads</Company>
  <LinksUpToDate>false</LinksUpToDate>
  <CharactersWithSpaces>970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MRTS100.2 - Annexure</dc:title>
  <dc:subject>High Strength Geosynthetic Reinforcement in Road Embankment</dc:subject>
  <dc:creator>Department of Transport and Main Roads</dc:creator>
  <cp:keywords>Specification; Technical; Standard; Contract; Tender; Construction; Design</cp:keywords>
  <dc:description/>
  <cp:lastModifiedBy>Ashley N Stevens</cp:lastModifiedBy>
  <cp:revision>9</cp:revision>
  <cp:lastPrinted>2013-06-20T03:17:00Z</cp:lastPrinted>
  <dcterms:created xsi:type="dcterms:W3CDTF">2017-04-05T03:14:00Z</dcterms:created>
  <dcterms:modified xsi:type="dcterms:W3CDTF">2023-03-14T00:00:00Z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