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64" w:rsidRDefault="004D4A3C" w:rsidP="00B8333F">
      <w:pPr>
        <w:pStyle w:val="BodyText"/>
      </w:pPr>
      <w:r w:rsidRPr="004D4A3C">
        <w:t>The Tenderer’s attention is directed to the</w:t>
      </w:r>
      <w:r>
        <w:t xml:space="preserve"> Conditions of Tendering Clause </w:t>
      </w:r>
      <w:r w:rsidRPr="004D4A3C">
        <w:t>11 in respect to the requirements associated with the Guided Tender Alternative meeting. The Principal shall provide one</w:t>
      </w:r>
      <w:r w:rsidR="00D46E11">
        <w:noBreakHyphen/>
      </w:r>
      <w:r w:rsidRPr="004D4A3C">
        <w:t>way briefing on th</w:t>
      </w:r>
      <w:r>
        <w:t>e following negotiable and non</w:t>
      </w:r>
      <w:r w:rsidR="00D46E11">
        <w:noBreakHyphen/>
      </w:r>
      <w:r w:rsidRPr="004D4A3C">
        <w:t>negotiable items to facilitate the development of alternative tender proposals.</w:t>
      </w:r>
    </w:p>
    <w:tbl>
      <w:tblPr>
        <w:tblStyle w:val="TableGrid"/>
        <w:tblW w:w="9209" w:type="dxa"/>
        <w:tblLayout w:type="fixed"/>
        <w:tblLook w:val="04A0" w:firstRow="1" w:lastRow="0" w:firstColumn="1" w:lastColumn="0" w:noHBand="0" w:noVBand="1"/>
      </w:tblPr>
      <w:tblGrid>
        <w:gridCol w:w="9209"/>
      </w:tblGrid>
      <w:tr w:rsidR="004D4A3C" w:rsidTr="00471C50">
        <w:tc>
          <w:tcPr>
            <w:tcW w:w="9209" w:type="dxa"/>
            <w:tcBorders>
              <w:bottom w:val="single" w:sz="4" w:space="0" w:color="auto"/>
            </w:tcBorders>
            <w:shd w:val="clear" w:color="auto" w:fill="D9D9D9"/>
          </w:tcPr>
          <w:p w:rsidR="004D4A3C" w:rsidRDefault="004D4A3C" w:rsidP="004D4A3C">
            <w:pPr>
              <w:pStyle w:val="TableHeading"/>
              <w:jc w:val="left"/>
            </w:pPr>
            <w:r w:rsidRPr="004D4A3C">
              <w:t>List of negotiable items</w:t>
            </w:r>
          </w:p>
        </w:tc>
      </w:tr>
      <w:tr w:rsidR="004D4A3C" w:rsidTr="00471C50">
        <w:trPr>
          <w:trHeight w:val="3402"/>
        </w:trPr>
        <w:tc>
          <w:tcPr>
            <w:tcW w:w="9209" w:type="dxa"/>
            <w:vAlign w:val="top"/>
          </w:tcPr>
          <w:p w:rsidR="004D4A3C" w:rsidRPr="005C29A7" w:rsidRDefault="004D4A3C" w:rsidP="00471C50">
            <w:pPr>
              <w:pStyle w:val="TableBodyText"/>
              <w:rPr>
                <w:i/>
                <w:color w:val="4F6C00"/>
                <w:sz w:val="18"/>
                <w:szCs w:val="18"/>
              </w:rPr>
            </w:pPr>
            <w:r w:rsidRPr="005C29A7">
              <w:rPr>
                <w:i/>
                <w:color w:val="4F6C00"/>
                <w:sz w:val="18"/>
                <w:szCs w:val="18"/>
              </w:rPr>
              <w:t>&lt;Tender Manager to populate this list&gt;</w:t>
            </w:r>
          </w:p>
          <w:p w:rsidR="004D4A3C" w:rsidRPr="005C29A7" w:rsidRDefault="004D4A3C" w:rsidP="00471C50">
            <w:pPr>
              <w:pStyle w:val="TableBodyText"/>
              <w:rPr>
                <w:i/>
                <w:color w:val="4F6C00"/>
                <w:sz w:val="18"/>
                <w:szCs w:val="18"/>
              </w:rPr>
            </w:pPr>
            <w:r w:rsidRPr="005C29A7">
              <w:rPr>
                <w:i/>
                <w:color w:val="4F6C00"/>
                <w:sz w:val="18"/>
                <w:szCs w:val="18"/>
              </w:rPr>
              <w:t>Example:</w:t>
            </w:r>
          </w:p>
          <w:p w:rsidR="004D4A3C" w:rsidRPr="005C29A7" w:rsidRDefault="004D4A3C" w:rsidP="00471C50">
            <w:pPr>
              <w:pStyle w:val="TableBodyText"/>
              <w:rPr>
                <w:i/>
                <w:color w:val="4F6C00"/>
                <w:sz w:val="18"/>
                <w:szCs w:val="18"/>
              </w:rPr>
            </w:pPr>
            <w:r w:rsidRPr="005C29A7">
              <w:rPr>
                <w:i/>
                <w:color w:val="4F6C00"/>
                <w:sz w:val="18"/>
                <w:szCs w:val="18"/>
              </w:rPr>
              <w:t>Subgrade</w:t>
            </w:r>
            <w:r w:rsidR="00D46E11" w:rsidRPr="005C29A7">
              <w:rPr>
                <w:i/>
                <w:color w:val="4F6C00"/>
                <w:sz w:val="18"/>
                <w:szCs w:val="18"/>
              </w:rPr>
              <w:noBreakHyphen/>
            </w:r>
            <w:r w:rsidRPr="005C29A7">
              <w:rPr>
                <w:i/>
                <w:color w:val="4F6C00"/>
                <w:sz w:val="18"/>
                <w:szCs w:val="18"/>
              </w:rPr>
              <w:t>treatment</w:t>
            </w:r>
          </w:p>
          <w:p w:rsidR="004D4A3C" w:rsidRPr="004D4A3C" w:rsidRDefault="004D4A3C" w:rsidP="00471C50">
            <w:pPr>
              <w:pStyle w:val="TableBodyText"/>
              <w:rPr>
                <w:i/>
                <w:sz w:val="18"/>
                <w:szCs w:val="18"/>
              </w:rPr>
            </w:pPr>
            <w:r w:rsidRPr="005C29A7">
              <w:rPr>
                <w:i/>
                <w:color w:val="4F6C00"/>
                <w:sz w:val="18"/>
                <w:szCs w:val="18"/>
              </w:rPr>
              <w:t>Piling design (e.g.</w:t>
            </w:r>
            <w:r w:rsidR="005E3E60" w:rsidRPr="005C29A7">
              <w:rPr>
                <w:i/>
                <w:color w:val="4F6C00"/>
                <w:sz w:val="18"/>
                <w:szCs w:val="18"/>
              </w:rPr>
              <w:t>,</w:t>
            </w:r>
            <w:r w:rsidRPr="005C29A7">
              <w:rPr>
                <w:i/>
                <w:color w:val="4F6C00"/>
                <w:sz w:val="18"/>
                <w:szCs w:val="18"/>
              </w:rPr>
              <w:t xml:space="preserve"> pile type or methods) satisfying structural loading profile</w:t>
            </w:r>
          </w:p>
          <w:p w:rsidR="004D4A3C" w:rsidRDefault="004D4A3C" w:rsidP="00471C50">
            <w:pPr>
              <w:pStyle w:val="TableBodyText"/>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4D4A3C" w:rsidTr="008747A5">
        <w:tc>
          <w:tcPr>
            <w:tcW w:w="9209" w:type="dxa"/>
            <w:shd w:val="clear" w:color="auto" w:fill="D9D9D9"/>
          </w:tcPr>
          <w:p w:rsidR="004D4A3C" w:rsidRDefault="004D4A3C" w:rsidP="004D4A3C">
            <w:pPr>
              <w:pStyle w:val="TableHeading"/>
              <w:jc w:val="left"/>
            </w:pPr>
            <w:r w:rsidRPr="004D4A3C">
              <w:t>List of non-negotiable items</w:t>
            </w:r>
          </w:p>
        </w:tc>
      </w:tr>
      <w:tr w:rsidR="004D4A3C" w:rsidTr="00471C50">
        <w:trPr>
          <w:trHeight w:val="3402"/>
        </w:trPr>
        <w:tc>
          <w:tcPr>
            <w:tcW w:w="9209" w:type="dxa"/>
            <w:vAlign w:val="top"/>
          </w:tcPr>
          <w:p w:rsidR="004D4A3C" w:rsidRPr="005C29A7" w:rsidRDefault="004D4A3C" w:rsidP="00471C50">
            <w:pPr>
              <w:pStyle w:val="TableBodyText"/>
              <w:rPr>
                <w:i/>
                <w:color w:val="4F6C00"/>
                <w:sz w:val="18"/>
                <w:szCs w:val="18"/>
              </w:rPr>
            </w:pPr>
            <w:r w:rsidRPr="005C29A7">
              <w:rPr>
                <w:i/>
                <w:color w:val="4F6C00"/>
                <w:sz w:val="18"/>
                <w:szCs w:val="18"/>
              </w:rPr>
              <w:t>&lt;Tender Manager to populate this list&gt;</w:t>
            </w:r>
          </w:p>
          <w:p w:rsidR="004D4A3C" w:rsidRPr="005C29A7" w:rsidRDefault="004D4A3C" w:rsidP="00471C50">
            <w:pPr>
              <w:pStyle w:val="TableBodyText"/>
              <w:rPr>
                <w:i/>
                <w:color w:val="4F6C00"/>
                <w:sz w:val="18"/>
                <w:szCs w:val="18"/>
              </w:rPr>
            </w:pPr>
            <w:r w:rsidRPr="005C29A7">
              <w:rPr>
                <w:i/>
                <w:color w:val="4F6C00"/>
                <w:sz w:val="18"/>
                <w:szCs w:val="18"/>
              </w:rPr>
              <w:t>Examples:</w:t>
            </w:r>
          </w:p>
          <w:p w:rsidR="004D4A3C" w:rsidRPr="005C29A7" w:rsidRDefault="004D4A3C" w:rsidP="00471C50">
            <w:pPr>
              <w:pStyle w:val="TableBodyText"/>
              <w:rPr>
                <w:i/>
                <w:color w:val="4F6C00"/>
                <w:sz w:val="18"/>
                <w:szCs w:val="18"/>
              </w:rPr>
            </w:pPr>
            <w:r w:rsidRPr="005C29A7">
              <w:rPr>
                <w:i/>
                <w:color w:val="4F6C00"/>
                <w:sz w:val="18"/>
                <w:szCs w:val="18"/>
              </w:rPr>
              <w:t>Date for Practical Completion</w:t>
            </w:r>
          </w:p>
          <w:p w:rsidR="004D4A3C" w:rsidRPr="005C29A7" w:rsidRDefault="004D4A3C" w:rsidP="00471C50">
            <w:pPr>
              <w:pStyle w:val="TableBodyText"/>
              <w:rPr>
                <w:i/>
                <w:color w:val="4F6C00"/>
                <w:sz w:val="18"/>
                <w:szCs w:val="18"/>
              </w:rPr>
            </w:pPr>
            <w:r w:rsidRPr="005C29A7">
              <w:rPr>
                <w:i/>
                <w:color w:val="4F6C00"/>
                <w:sz w:val="18"/>
                <w:szCs w:val="18"/>
              </w:rPr>
              <w:t>Road alignment</w:t>
            </w:r>
          </w:p>
          <w:p w:rsidR="004D4A3C" w:rsidRPr="005C29A7" w:rsidRDefault="004D4A3C" w:rsidP="00471C50">
            <w:pPr>
              <w:pStyle w:val="TableBodyText"/>
              <w:rPr>
                <w:i/>
                <w:color w:val="4F6C00"/>
                <w:sz w:val="18"/>
                <w:szCs w:val="18"/>
              </w:rPr>
            </w:pPr>
            <w:r w:rsidRPr="005C29A7">
              <w:rPr>
                <w:i/>
                <w:color w:val="4F6C00"/>
                <w:sz w:val="18"/>
                <w:szCs w:val="18"/>
              </w:rPr>
              <w:t>Work Restrictions/Period of No Lane Closures (as per MRTS02 and its Annexure)</w:t>
            </w:r>
          </w:p>
          <w:p w:rsidR="004D4A3C" w:rsidRDefault="004D4A3C" w:rsidP="00471C50">
            <w:pPr>
              <w:pStyle w:val="TableBodyText"/>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bookmarkStart w:id="0" w:name="_GoBack"/>
        <w:bookmarkEnd w:id="0"/>
      </w:tr>
    </w:tbl>
    <w:p w:rsidR="004D4A3C" w:rsidRDefault="004D4A3C"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rsidTr="008747A5">
        <w:tc>
          <w:tcPr>
            <w:tcW w:w="9209" w:type="dxa"/>
            <w:gridSpan w:val="3"/>
            <w:shd w:val="clear" w:color="auto" w:fill="auto"/>
            <w:vAlign w:val="center"/>
          </w:tcPr>
          <w:p w:rsidR="002E074D" w:rsidRDefault="002E074D" w:rsidP="00133AE0">
            <w:pPr>
              <w:pStyle w:val="TableHeading"/>
              <w:keepNext/>
              <w:keepLines/>
              <w:jc w:val="left"/>
            </w:pPr>
            <w:r>
              <w:t>Authorisation</w:t>
            </w:r>
          </w:p>
        </w:tc>
      </w:tr>
      <w:tr w:rsidR="002E074D" w:rsidTr="008747A5">
        <w:tc>
          <w:tcPr>
            <w:tcW w:w="9209" w:type="dxa"/>
            <w:gridSpan w:val="3"/>
            <w:shd w:val="clear" w:color="auto" w:fill="auto"/>
            <w:vAlign w:val="center"/>
          </w:tcPr>
          <w:p w:rsidR="002E074D" w:rsidRDefault="002E074D" w:rsidP="004D4A3C">
            <w:pPr>
              <w:pStyle w:val="TableHeading"/>
              <w:keepNext/>
              <w:keepLines/>
              <w:jc w:val="left"/>
            </w:pPr>
            <w:r>
              <w:t xml:space="preserve">For and on behalf of </w:t>
            </w:r>
            <w:r w:rsidR="004D4A3C">
              <w:t>the Principal</w:t>
            </w:r>
          </w:p>
        </w:tc>
      </w:tr>
      <w:tr w:rsidR="002E074D" w:rsidTr="008747A5">
        <w:tc>
          <w:tcPr>
            <w:tcW w:w="3095" w:type="dxa"/>
            <w:shd w:val="clear" w:color="auto" w:fill="auto"/>
            <w:vAlign w:val="center"/>
          </w:tcPr>
          <w:p w:rsidR="002E074D" w:rsidRDefault="002E074D" w:rsidP="002E074D">
            <w:pPr>
              <w:pStyle w:val="TableBodyTextsmall"/>
            </w:pPr>
            <w:r>
              <w:t>Name/Position</w:t>
            </w:r>
          </w:p>
        </w:tc>
        <w:tc>
          <w:tcPr>
            <w:tcW w:w="3095" w:type="dxa"/>
            <w:shd w:val="clear" w:color="auto" w:fill="auto"/>
            <w:vAlign w:val="center"/>
          </w:tcPr>
          <w:p w:rsidR="002E074D" w:rsidRDefault="002E074D" w:rsidP="002E074D">
            <w:pPr>
              <w:pStyle w:val="TableBodyTextsmall"/>
            </w:pPr>
            <w:r>
              <w:t>Signature</w:t>
            </w:r>
          </w:p>
        </w:tc>
        <w:tc>
          <w:tcPr>
            <w:tcW w:w="3019" w:type="dxa"/>
            <w:shd w:val="clear" w:color="auto" w:fill="auto"/>
            <w:vAlign w:val="center"/>
          </w:tcPr>
          <w:p w:rsidR="002E074D" w:rsidRDefault="002E074D" w:rsidP="002E074D">
            <w:pPr>
              <w:pStyle w:val="TableBodyTextsmall"/>
            </w:pPr>
            <w:r>
              <w:t>Date</w:t>
            </w:r>
          </w:p>
        </w:tc>
      </w:tr>
      <w:tr w:rsidR="002E074D" w:rsidTr="008747A5">
        <w:tc>
          <w:tcPr>
            <w:tcW w:w="3095" w:type="dxa"/>
            <w:shd w:val="clear" w:color="auto" w:fill="auto"/>
            <w:vAlign w:val="center"/>
          </w:tcPr>
          <w:p w:rsidR="002E074D" w:rsidRDefault="002E074D" w:rsidP="00133AE0">
            <w:pPr>
              <w:pStyle w:val="BodyText"/>
              <w:keepNext/>
              <w:keepLines/>
            </w:pPr>
          </w:p>
        </w:tc>
        <w:tc>
          <w:tcPr>
            <w:tcW w:w="3095" w:type="dxa"/>
            <w:shd w:val="clear" w:color="auto" w:fill="auto"/>
            <w:vAlign w:val="center"/>
          </w:tcPr>
          <w:p w:rsidR="002E074D" w:rsidRDefault="002E074D" w:rsidP="00133AE0">
            <w:pPr>
              <w:pStyle w:val="BodyText"/>
              <w:keepNext/>
              <w:keepLines/>
            </w:pPr>
          </w:p>
        </w:tc>
        <w:tc>
          <w:tcPr>
            <w:tcW w:w="3019" w:type="dxa"/>
            <w:shd w:val="clear" w:color="auto" w:fill="auto"/>
            <w:vAlign w:val="center"/>
          </w:tcPr>
          <w:p w:rsidR="002E074D" w:rsidRDefault="002E074D" w:rsidP="00133AE0">
            <w:pPr>
              <w:pStyle w:val="BodyText"/>
              <w:keepNext/>
              <w:keepLines/>
            </w:pPr>
          </w:p>
        </w:tc>
      </w:tr>
      <w:tr w:rsidR="00C34247" w:rsidTr="008747A5">
        <w:tc>
          <w:tcPr>
            <w:tcW w:w="9209" w:type="dxa"/>
            <w:gridSpan w:val="3"/>
            <w:shd w:val="clear" w:color="auto" w:fill="auto"/>
            <w:vAlign w:val="center"/>
          </w:tcPr>
          <w:p w:rsidR="00C34247" w:rsidRDefault="00C34247" w:rsidP="004D4A3C">
            <w:pPr>
              <w:pStyle w:val="TableBodyTextsmall"/>
            </w:pPr>
            <w:r>
              <w:t xml:space="preserve">Name of </w:t>
            </w:r>
            <w:r w:rsidR="004D4A3C">
              <w:t>Tenderer</w:t>
            </w:r>
          </w:p>
        </w:tc>
      </w:tr>
      <w:tr w:rsidR="004D4A3C" w:rsidTr="008747A5">
        <w:tc>
          <w:tcPr>
            <w:tcW w:w="9209" w:type="dxa"/>
            <w:gridSpan w:val="3"/>
            <w:shd w:val="clear" w:color="auto" w:fill="auto"/>
            <w:vAlign w:val="center"/>
          </w:tcPr>
          <w:p w:rsidR="004D4A3C" w:rsidRDefault="004D4A3C" w:rsidP="00133AE0">
            <w:pPr>
              <w:pStyle w:val="BodyText"/>
              <w:keepNext/>
              <w:keepLines/>
            </w:pPr>
          </w:p>
        </w:tc>
      </w:tr>
      <w:tr w:rsidR="00C34247" w:rsidTr="008747A5">
        <w:tc>
          <w:tcPr>
            <w:tcW w:w="9209" w:type="dxa"/>
            <w:gridSpan w:val="3"/>
            <w:shd w:val="clear" w:color="auto" w:fill="auto"/>
            <w:vAlign w:val="center"/>
          </w:tcPr>
          <w:p w:rsidR="00C34247" w:rsidRDefault="004D4A3C" w:rsidP="005C29A7">
            <w:pPr>
              <w:pStyle w:val="TableBodyTextsmall"/>
            </w:pPr>
            <w:r w:rsidRPr="004D4A3C">
              <w:t>The Department of Transport and Main Roads collects personal information on this form so that you may execute the deed.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33AE0" w:rsidRDefault="00133AE0" w:rsidP="00471C50">
      <w:pPr>
        <w:pStyle w:val="BodyText"/>
        <w:spacing w:after="0" w:line="240" w:lineRule="auto"/>
      </w:pPr>
    </w:p>
    <w:sectPr w:rsidR="00133AE0" w:rsidSect="00F76A5D">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E35EFC">
    <w:pPr>
      <w:pStyle w:val="Footer"/>
      <w:tabs>
        <w:tab w:val="clear" w:pos="9540"/>
        <w:tab w:val="right" w:pos="9639"/>
      </w:tabs>
      <w:ind w:right="-474"/>
    </w:pPr>
    <w:r>
      <w:t xml:space="preserve">Transport Infrastructure Contract, </w:t>
    </w:r>
    <w:r w:rsidR="00C5054B" w:rsidRPr="00391457">
      <w:t>Trans</w:t>
    </w:r>
    <w:r w:rsidR="00C5054B">
      <w:t xml:space="preserve">port and Main Roads, </w:t>
    </w:r>
    <w:r>
      <w:t>April</w:t>
    </w:r>
    <w:r w:rsidR="00C5054B">
      <w:t xml:space="preserve"> 201</w:t>
    </w:r>
    <w:r>
      <w:t>5</w:t>
    </w:r>
    <w:r w:rsidR="004D4A3C">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35EFC">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35EFC">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2B2AF0"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4D4A3C">
      <w:rPr>
        <w:b/>
        <w:sz w:val="32"/>
        <w:szCs w:val="32"/>
      </w:rPr>
      <w:t>List of Negotiable/</w:t>
    </w:r>
    <w:r w:rsidR="004563F8">
      <w:rPr>
        <w:b/>
        <w:sz w:val="32"/>
        <w:szCs w:val="32"/>
      </w:rPr>
      <w:br/>
    </w:r>
    <w:r w:rsidR="004D4A3C">
      <w:rPr>
        <w:b/>
        <w:sz w:val="32"/>
        <w:szCs w:val="32"/>
      </w:rPr>
      <w:t>Non-Negotiable Items</w:t>
    </w:r>
  </w:p>
  <w:p w:rsidR="00C5054B" w:rsidRPr="007E6BE4" w:rsidRDefault="004D4A3C" w:rsidP="00C5054B">
    <w:pPr>
      <w:pStyle w:val="HeaderChapterpart"/>
      <w:rPr>
        <w:sz w:val="32"/>
        <w:szCs w:val="32"/>
      </w:rPr>
    </w:pPr>
    <w:r>
      <w:rPr>
        <w:sz w:val="32"/>
        <w:szCs w:val="32"/>
      </w:rPr>
      <w:t>(Guided Tender Alternative Process)</w:t>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4D4A3C" w:rsidP="004D4A3C">
          <w:pPr>
            <w:pStyle w:val="HeaderChapterpart"/>
            <w:keepNext/>
            <w:keepLines/>
            <w:pBdr>
              <w:bottom w:val="none" w:sz="0" w:space="0" w:color="auto"/>
            </w:pBdr>
            <w:ind w:right="0"/>
            <w:rPr>
              <w:b/>
              <w:sz w:val="22"/>
              <w:szCs w:val="22"/>
            </w:rPr>
          </w:pPr>
          <w:r>
            <w:rPr>
              <w:b/>
              <w:sz w:val="22"/>
              <w:szCs w:val="22"/>
            </w:rPr>
            <w:t>C7810.GT1</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5A75E68"/>
    <w:multiLevelType w:val="multilevel"/>
    <w:tmpl w:val="620CC31C"/>
    <w:numStyleLink w:val="ListAllBullets3Level"/>
  </w:abstractNum>
  <w:abstractNum w:abstractNumId="24">
    <w:nsid w:val="49726A54"/>
    <w:multiLevelType w:val="multilevel"/>
    <w:tmpl w:val="DC821EBC"/>
    <w:numStyleLink w:val="TableListAllBullets3Level"/>
  </w:abstractNum>
  <w:abstractNum w:abstractNumId="25">
    <w:nsid w:val="4F830FDD"/>
    <w:multiLevelType w:val="multilevel"/>
    <w:tmpl w:val="AB2E9E82"/>
    <w:numStyleLink w:val="TableListSmallLetter"/>
  </w:abstractNum>
  <w:abstractNum w:abstractNumId="26">
    <w:nsid w:val="57582309"/>
    <w:multiLevelType w:val="multilevel"/>
    <w:tmpl w:val="620CC31C"/>
    <w:numStyleLink w:val="ListAllBullets3Level"/>
  </w:abstractNum>
  <w:abstractNum w:abstractNumId="27">
    <w:nsid w:val="57EF42BE"/>
    <w:multiLevelType w:val="multilevel"/>
    <w:tmpl w:val="B2B20138"/>
    <w:numStyleLink w:val="TableListAllLetter3level"/>
  </w:abstractNum>
  <w:abstractNum w:abstractNumId="28">
    <w:nsid w:val="587C617C"/>
    <w:multiLevelType w:val="multilevel"/>
    <w:tmpl w:val="5DAC17FA"/>
    <w:numStyleLink w:val="TableListSmallNumber"/>
  </w:abstractNum>
  <w:abstractNum w:abstractNumId="29">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6921570F"/>
    <w:multiLevelType w:val="multilevel"/>
    <w:tmpl w:val="DC821EBC"/>
    <w:numStyleLink w:val="TableListAllBullets3Level"/>
  </w:abstractNum>
  <w:abstractNum w:abstractNumId="31">
    <w:nsid w:val="71D37352"/>
    <w:multiLevelType w:val="multilevel"/>
    <w:tmpl w:val="B2B20138"/>
    <w:numStyleLink w:val="TableListAllLetter3level"/>
  </w:abstractNum>
  <w:abstractNum w:abstractNumId="32">
    <w:nsid w:val="733219AB"/>
    <w:multiLevelType w:val="multilevel"/>
    <w:tmpl w:val="168C5AE8"/>
    <w:numStyleLink w:val="ListAllLetter3Level"/>
  </w:abstractNum>
  <w:abstractNum w:abstractNumId="33">
    <w:nsid w:val="75F87C64"/>
    <w:multiLevelType w:val="multilevel"/>
    <w:tmpl w:val="5DAC17FA"/>
    <w:numStyleLink w:val="TableListSmallNumber"/>
  </w:abstractNum>
  <w:abstractNum w:abstractNumId="34">
    <w:nsid w:val="7A5F4FED"/>
    <w:multiLevelType w:val="multilevel"/>
    <w:tmpl w:val="168C5AE8"/>
    <w:numStyleLink w:val="ListAllLetter3Level"/>
  </w:abstractNum>
  <w:abstractNum w:abstractNumId="35">
    <w:nsid w:val="7CB15E02"/>
    <w:multiLevelType w:val="multilevel"/>
    <w:tmpl w:val="DC821EBC"/>
    <w:numStyleLink w:val="TableListAllBullets3Level"/>
  </w:abstractNum>
  <w:abstractNum w:abstractNumId="36">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B2AF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3F8"/>
    <w:rsid w:val="00456933"/>
    <w:rsid w:val="00456A07"/>
    <w:rsid w:val="00471C50"/>
    <w:rsid w:val="00477792"/>
    <w:rsid w:val="004D4A3C"/>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C29A7"/>
    <w:rsid w:val="005D3973"/>
    <w:rsid w:val="005D474C"/>
    <w:rsid w:val="005D59C0"/>
    <w:rsid w:val="005E3E60"/>
    <w:rsid w:val="005E7F89"/>
    <w:rsid w:val="0060080E"/>
    <w:rsid w:val="0061185E"/>
    <w:rsid w:val="00622BC5"/>
    <w:rsid w:val="00627EC8"/>
    <w:rsid w:val="00635475"/>
    <w:rsid w:val="00641639"/>
    <w:rsid w:val="00645A39"/>
    <w:rsid w:val="00653DDD"/>
    <w:rsid w:val="0065770B"/>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747A5"/>
    <w:rsid w:val="008807C8"/>
    <w:rsid w:val="008843E8"/>
    <w:rsid w:val="008A19A0"/>
    <w:rsid w:val="008A3D7D"/>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139D1"/>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46E11"/>
    <w:rsid w:val="00D56593"/>
    <w:rsid w:val="00D67F00"/>
    <w:rsid w:val="00D8447C"/>
    <w:rsid w:val="00D86598"/>
    <w:rsid w:val="00DA20DD"/>
    <w:rsid w:val="00DC076F"/>
    <w:rsid w:val="00DC376C"/>
    <w:rsid w:val="00DE56ED"/>
    <w:rsid w:val="00DF1C54"/>
    <w:rsid w:val="00DF27E0"/>
    <w:rsid w:val="00DF40B1"/>
    <w:rsid w:val="00E35EFC"/>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76A5D"/>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http://purl.org/dc/elements/1.1/"/>
    <ds:schemaRef ds:uri="http://schemas.microsoft.com/office/2006/documentManagement/types"/>
    <ds:schemaRef ds:uri="http://purl.org/dc/terms/"/>
    <ds:schemaRef ds:uri="ec972935-d489-4a83-af2a-c34816ed2832"/>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598F8492-567E-4F9F-9F6F-5B23286C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TotalTime>
  <Pages>1</Pages>
  <Words>177</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C7810.GT1 – List of Negotiable/Non-Negotiable Items (Guided Tender Alternative Process)</vt:lpstr>
    </vt:vector>
  </TitlesOfParts>
  <Company>Department of Transport and Main Roads</Company>
  <LinksUpToDate>false</LinksUpToDate>
  <CharactersWithSpaces>1237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C7810.GT1 – List of Negotiable/Non-Negotiable Items (Guided Tender Alternative Process)</dc:title>
  <dc:subject>Transport Infrastructure Contract - Construct Only</dc:subject>
  <dc:creator>Department of Transport and Main Roads</dc:creator>
  <cp:keywords>contract, construct only, TIC, CO</cp:keywords>
  <dc:description/>
  <cp:lastModifiedBy>Maddy Z Gourley</cp:lastModifiedBy>
  <cp:revision>6</cp:revision>
  <cp:lastPrinted>2013-06-20T03:17:00Z</cp:lastPrinted>
  <dcterms:created xsi:type="dcterms:W3CDTF">2015-04-15T05:06:00Z</dcterms:created>
  <dcterms:modified xsi:type="dcterms:W3CDTF">2015-04-20T23:15:00Z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