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85B1" w14:textId="3DCFF440" w:rsidR="009D6DDD" w:rsidRPr="009D6DDD" w:rsidRDefault="009D6DDD" w:rsidP="0025449F">
      <w:pPr>
        <w:pStyle w:val="Heading1"/>
        <w:numPr>
          <w:ilvl w:val="0"/>
          <w:numId w:val="0"/>
        </w:numPr>
        <w:ind w:left="431" w:hanging="431"/>
      </w:pPr>
      <w:bookmarkStart w:id="0" w:name="_GoBack"/>
      <w:bookmarkEnd w:id="0"/>
      <w:r w:rsidRPr="00A54484">
        <w:t xml:space="preserve">Tender Schedule </w:t>
      </w:r>
      <w:r w:rsidR="00D93764" w:rsidRPr="00A54484">
        <w:t>S</w:t>
      </w:r>
      <w:r w:rsidR="00D93764" w:rsidRPr="009D6DDD">
        <w:t>10</w:t>
      </w:r>
      <w:r w:rsidR="00D93764">
        <w:t> </w:t>
      </w:r>
      <w:r w:rsidR="00D93764" w:rsidRPr="009D6DDD">
        <w:t>–</w:t>
      </w:r>
      <w:r w:rsidR="00D93764">
        <w:t> </w:t>
      </w:r>
      <w:r w:rsidRPr="009D6DDD">
        <w:t>Ethical Supplier Threshold</w:t>
      </w:r>
    </w:p>
    <w:p w14:paraId="6ED4FDAA" w14:textId="69E3C48F" w:rsidR="00C42BD1" w:rsidRDefault="00C42BD1" w:rsidP="00666611">
      <w:r>
        <w:t xml:space="preserve">It is </w:t>
      </w:r>
      <w:r w:rsidR="00BE630E">
        <w:t>a mandatory criterion</w:t>
      </w:r>
      <w:r>
        <w:t xml:space="preserve"> that the </w:t>
      </w:r>
      <w:r w:rsidR="00221E00">
        <w:t>Tenderer</w:t>
      </w:r>
      <w:r>
        <w:t xml:space="preserve"> must comply with the Ethical Supplier Threshold</w:t>
      </w:r>
      <w:r w:rsidR="00987AEB">
        <w:t xml:space="preserve"> (Threshold)</w:t>
      </w:r>
      <w:r>
        <w:t xml:space="preserve">. Please provide the following details about the </w:t>
      </w:r>
      <w:r w:rsidR="00221E00">
        <w:t>Tenderer</w:t>
      </w:r>
      <w:r>
        <w:t>:</w:t>
      </w:r>
    </w:p>
    <w:p w14:paraId="0E2EBDD3" w14:textId="18250B8B" w:rsidR="00666611" w:rsidRPr="006B685A" w:rsidRDefault="00086CC7" w:rsidP="00666611">
      <w:pPr>
        <w:rPr>
          <w:rFonts w:ascii="Calibri" w:hAnsi="Calibri"/>
          <w:szCs w:val="22"/>
        </w:rPr>
      </w:pPr>
      <w:r>
        <w:t xml:space="preserve">From </w:t>
      </w:r>
      <w:r w:rsidR="00666611" w:rsidRPr="006B685A">
        <w:t>1 August 2019, has</w:t>
      </w:r>
      <w:r w:rsidR="00C42BD1">
        <w:t xml:space="preserve"> the Tenderer</w:t>
      </w:r>
      <w:r w:rsidR="00666611" w:rsidRPr="006B685A"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453"/>
        <w:gridCol w:w="1194"/>
      </w:tblGrid>
      <w:tr w:rsidR="00086CC7" w14:paraId="1BE0CA96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9BE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FF63" w14:textId="3066619D" w:rsidR="00086CC7" w:rsidRDefault="00086CC7">
            <w:r>
              <w:t xml:space="preserve">Contravened a civil remedy provision of chapter 2 or chapter 3 of the </w:t>
            </w:r>
            <w:r w:rsidRPr="00A54484">
              <w:rPr>
                <w:i/>
              </w:rPr>
              <w:t>Fair Work Act 2009</w:t>
            </w:r>
            <w:r>
              <w:t xml:space="preserve"> (</w:t>
            </w:r>
            <w:proofErr w:type="spellStart"/>
            <w:r>
              <w:t>Cth</w:t>
            </w:r>
            <w:proofErr w:type="spellEnd"/>
            <w:r>
              <w:t xml:space="preserve">), or committed an offence against the </w:t>
            </w:r>
            <w:r w:rsidRPr="00A54484">
              <w:rPr>
                <w:i/>
              </w:rPr>
              <w:t>Fair Work Act</w:t>
            </w:r>
            <w:r>
              <w:t>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25A" w14:textId="47A147D5" w:rsidR="00086CC7" w:rsidRDefault="00086CC7">
            <w:r>
              <w:t xml:space="preserve">Yes </w:t>
            </w:r>
            <w:r>
              <w:tab/>
            </w:r>
            <w:sdt>
              <w:sdtPr>
                <w:id w:val="-2511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56A410" w14:textId="114D9D7C" w:rsidR="00086CC7" w:rsidRDefault="00086CC7">
            <w:r>
              <w:t>No</w:t>
            </w:r>
            <w:r>
              <w:tab/>
            </w:r>
            <w:sdt>
              <w:sdtPr>
                <w:id w:val="-116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521AEAEE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EFE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F93A" w14:textId="6754845A" w:rsidR="00086CC7" w:rsidRDefault="00086CC7">
            <w:r>
              <w:t xml:space="preserve">Contravened a civil remedy provision of chapters 2, 3, 4, 5, or 7 of the </w:t>
            </w:r>
            <w:r w:rsidRPr="00A54484">
              <w:rPr>
                <w:i/>
              </w:rPr>
              <w:t>Industrial Relations Act 2016</w:t>
            </w:r>
            <w:r>
              <w:t xml:space="preserve"> (Qld), or committed an offence against the </w:t>
            </w:r>
            <w:r w:rsidRPr="00A54484">
              <w:rPr>
                <w:i/>
              </w:rPr>
              <w:t>Industrial Relations Act</w:t>
            </w:r>
            <w:r>
              <w:t xml:space="preserve">, or failed to pay employment related levies, or other payments, established under the </w:t>
            </w:r>
            <w:r w:rsidRPr="00A54484">
              <w:rPr>
                <w:i/>
              </w:rPr>
              <w:t>Industrial Relations Act</w:t>
            </w:r>
            <w:r>
              <w:t>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ED54" w14:textId="5FB9FB42" w:rsidR="00086CC7" w:rsidRDefault="00086CC7">
            <w:r>
              <w:t xml:space="preserve">Yes </w:t>
            </w:r>
            <w:r>
              <w:tab/>
            </w:r>
            <w:sdt>
              <w:sdtPr>
                <w:id w:val="5159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637F64" w14:textId="7CE90F81" w:rsidR="00086CC7" w:rsidRDefault="00086CC7">
            <w:r>
              <w:t>No</w:t>
            </w:r>
            <w:r>
              <w:tab/>
            </w:r>
            <w:sdt>
              <w:sdtPr>
                <w:id w:val="4963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27EAF7A2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0DD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769" w14:textId="7C3DBBA4" w:rsidR="00086CC7" w:rsidRDefault="00086CC7">
            <w:r>
              <w:t>Failed to make superannuation contributions on behalf of employees in accordance with law?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AFD" w14:textId="0790DDC8" w:rsidR="00086CC7" w:rsidRDefault="00086CC7">
            <w:r>
              <w:t xml:space="preserve">Yes </w:t>
            </w:r>
            <w:r>
              <w:tab/>
            </w:r>
            <w:sdt>
              <w:sdtPr>
                <w:id w:val="-13567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1D0F90" w14:textId="5B99076A" w:rsidR="00086CC7" w:rsidRDefault="00086CC7">
            <w:r>
              <w:t>No</w:t>
            </w:r>
            <w:r>
              <w:tab/>
            </w:r>
            <w:sdt>
              <w:sdtPr>
                <w:id w:val="16873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04C5DBF0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00A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36B2" w14:textId="52114981" w:rsidR="00086CC7" w:rsidRDefault="00086CC7">
            <w:r>
              <w:t>Purported to treat employees as independent contractors, where they are not?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644" w14:textId="1F12986F" w:rsidR="00086CC7" w:rsidRDefault="00086CC7">
            <w:r>
              <w:t xml:space="preserve">Yes </w:t>
            </w:r>
            <w:r>
              <w:tab/>
            </w:r>
            <w:sdt>
              <w:sdtPr>
                <w:id w:val="13886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8C131B" w14:textId="4DF3A213" w:rsidR="00086CC7" w:rsidRDefault="00086CC7">
            <w:r>
              <w:t>No</w:t>
            </w:r>
            <w:r>
              <w:tab/>
            </w:r>
            <w:sdt>
              <w:sdtPr>
                <w:id w:val="-14998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7B15A398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398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AE7" w14:textId="4647F866" w:rsidR="00086CC7" w:rsidRDefault="00086CC7">
            <w:r>
              <w:t>Required persons who would otherwise be employees to provide an Australian Business Number so that they could be treated as independent contractors?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436" w14:textId="182C42A3" w:rsidR="00086CC7" w:rsidRDefault="00086CC7">
            <w:r>
              <w:t xml:space="preserve">Yes </w:t>
            </w:r>
            <w:r>
              <w:tab/>
            </w:r>
            <w:sdt>
              <w:sdtPr>
                <w:id w:val="8617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12CB7F" w14:textId="6719BD68" w:rsidR="00086CC7" w:rsidRDefault="00086CC7">
            <w:r>
              <w:t>No</w:t>
            </w:r>
            <w:r>
              <w:tab/>
            </w:r>
            <w:sdt>
              <w:sdtPr>
                <w:id w:val="-9535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7FCD2161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3F8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FD6A" w14:textId="6372CDA4" w:rsidR="00086CC7" w:rsidRDefault="00086CC7">
            <w:r>
              <w:t>Engaged persons on unpaid work trials or an unpaid intern, where they should be treated as employees?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772" w14:textId="31247277" w:rsidR="00086CC7" w:rsidRDefault="00086CC7">
            <w:r>
              <w:t xml:space="preserve">Yes </w:t>
            </w:r>
            <w:r>
              <w:tab/>
            </w:r>
            <w:sdt>
              <w:sdtPr>
                <w:id w:val="-15946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452C9C" w14:textId="6FB3E5DE" w:rsidR="00086CC7" w:rsidRDefault="00086CC7">
            <w:r>
              <w:t>No</w:t>
            </w:r>
            <w:r>
              <w:tab/>
            </w:r>
            <w:sdt>
              <w:sdtPr>
                <w:id w:val="483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600D366D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5BA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6B8F" w14:textId="7B64C1FC" w:rsidR="00086CC7" w:rsidRDefault="00086CC7">
            <w:r>
              <w:t xml:space="preserve">Entered into an arrangement for the provision of labour hire services with a person who is not licensed under the </w:t>
            </w:r>
            <w:r>
              <w:rPr>
                <w:i/>
                <w:iCs/>
              </w:rPr>
              <w:t xml:space="preserve">Labour Hire Licensing Act 2017 </w:t>
            </w:r>
            <w:r>
              <w:rPr>
                <w:iCs/>
              </w:rPr>
              <w:t>(Qld)</w:t>
            </w:r>
            <w:r>
              <w:t>, or a supplier who is an unlicensed provider under the Act?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4B0E" w14:textId="4A2D19B8" w:rsidR="00086CC7" w:rsidRDefault="00086CC7">
            <w:r>
              <w:t xml:space="preserve">Yes </w:t>
            </w:r>
            <w:r>
              <w:tab/>
            </w:r>
            <w:sdt>
              <w:sdtPr>
                <w:id w:val="-9170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82268A" w14:textId="664B8C09" w:rsidR="00086CC7" w:rsidRDefault="00086CC7">
            <w:r>
              <w:t>No</w:t>
            </w:r>
            <w:r>
              <w:tab/>
            </w:r>
            <w:sdt>
              <w:sdtPr>
                <w:id w:val="3180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6CC7" w14:paraId="2CE960EA" w14:textId="77777777" w:rsidTr="00086C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992" w14:textId="77777777" w:rsidR="00086CC7" w:rsidRDefault="00086CC7"/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E69" w14:textId="6222E821" w:rsidR="00086CC7" w:rsidRDefault="00086CC7">
            <w:r>
              <w:t>Paid employee's wages below those provided for in an applicable modern award?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8C19" w14:textId="775417A5" w:rsidR="00086CC7" w:rsidRDefault="00086CC7">
            <w:r>
              <w:t xml:space="preserve">Yes </w:t>
            </w:r>
            <w:r>
              <w:tab/>
            </w:r>
            <w:sdt>
              <w:sdtPr>
                <w:id w:val="-189618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EC7FA4" w14:textId="73E3D3CB" w:rsidR="00086CC7" w:rsidRDefault="00086CC7">
            <w:r>
              <w:t>No</w:t>
            </w:r>
            <w:r>
              <w:tab/>
            </w:r>
            <w:sdt>
              <w:sdtPr>
                <w:id w:val="-13320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C74073B" w14:textId="5BA5035B" w:rsidR="00666611" w:rsidRPr="006B685A" w:rsidRDefault="00666611" w:rsidP="00A30981">
      <w:pPr>
        <w:spacing w:before="120"/>
      </w:pPr>
      <w:r w:rsidRPr="006B685A">
        <w:t xml:space="preserve">If the response to any of the question above is ‘yes’, please provide details and confirm if </w:t>
      </w:r>
      <w:r w:rsidR="00681BE6">
        <w:t>the issue has now been resolved.</w:t>
      </w:r>
    </w:p>
    <w:p w14:paraId="0A465095" w14:textId="02BCD7EE" w:rsidR="00666611" w:rsidRPr="006B685A" w:rsidRDefault="00666611" w:rsidP="00666611">
      <w:r w:rsidRPr="006B685A">
        <w:t xml:space="preserve">I confirm the response to the above questions is true and is to the best of my knowledge. I understand this tender may </w:t>
      </w:r>
      <w:r w:rsidR="003D1039">
        <w:t xml:space="preserve">not </w:t>
      </w:r>
      <w:r w:rsidRPr="006B685A">
        <w:t xml:space="preserve">be </w:t>
      </w:r>
      <w:r w:rsidR="003D1039">
        <w:t xml:space="preserve">considered </w:t>
      </w:r>
      <w:r w:rsidRPr="006B685A">
        <w:t xml:space="preserve">and the </w:t>
      </w:r>
      <w:r w:rsidR="00C42BD1">
        <w:t>Tenderer</w:t>
      </w:r>
      <w:r w:rsidR="00C42BD1" w:rsidRPr="006B685A">
        <w:t xml:space="preserve">’s </w:t>
      </w:r>
      <w:r w:rsidRPr="006B685A">
        <w:t>prequalification status may be affected if I supply incorrect and</w:t>
      </w:r>
      <w:r w:rsidR="00D93764">
        <w:t> </w:t>
      </w:r>
      <w:r w:rsidRPr="006B685A">
        <w:t>/</w:t>
      </w:r>
      <w:r w:rsidR="00D93764">
        <w:t> </w:t>
      </w:r>
      <w:r w:rsidRPr="006B685A">
        <w:t>or misleading information.</w:t>
      </w:r>
    </w:p>
    <w:p w14:paraId="544365F2" w14:textId="29C9C057" w:rsidR="00666611" w:rsidRPr="006B685A" w:rsidRDefault="00666611" w:rsidP="00DC6AC0">
      <w:pPr>
        <w:spacing w:before="480" w:after="240"/>
      </w:pPr>
      <w:r w:rsidRPr="006B685A">
        <w:t xml:space="preserve">Signature: </w:t>
      </w:r>
      <w:r w:rsidR="00A30981">
        <w:t>___</w:t>
      </w:r>
      <w:r w:rsidRPr="006B685A">
        <w:t>______________________</w:t>
      </w:r>
    </w:p>
    <w:p w14:paraId="0C884B41" w14:textId="77777777" w:rsidR="00666611" w:rsidRPr="006B685A" w:rsidRDefault="00666611" w:rsidP="00DC6AC0">
      <w:pPr>
        <w:spacing w:before="120"/>
      </w:pPr>
      <w:r w:rsidRPr="006B685A">
        <w:t>Name of individual signing on behalf of the tenderer: __________________________________</w:t>
      </w:r>
    </w:p>
    <w:p w14:paraId="6844617B" w14:textId="77777777" w:rsidR="00681BE6" w:rsidRDefault="00681BE6">
      <w:pPr>
        <w:spacing w:after="0" w:line="240" w:lineRule="auto"/>
      </w:pPr>
      <w:r>
        <w:br w:type="page"/>
      </w:r>
    </w:p>
    <w:p w14:paraId="31C9BAC1" w14:textId="225CA1FF" w:rsidR="00666611" w:rsidRPr="006B685A" w:rsidRDefault="00666611" w:rsidP="003E6F28">
      <w:pPr>
        <w:spacing w:after="240"/>
      </w:pPr>
      <w:r w:rsidRPr="006B685A">
        <w:lastRenderedPageBreak/>
        <w:t>Tenderers should note the following:</w:t>
      </w:r>
    </w:p>
    <w:p w14:paraId="230E479F" w14:textId="03769835" w:rsidR="00666611" w:rsidRPr="00681BE6" w:rsidRDefault="00666611" w:rsidP="003E6F28">
      <w:pPr>
        <w:pStyle w:val="ListParagraph"/>
        <w:numPr>
          <w:ilvl w:val="0"/>
          <w:numId w:val="19"/>
        </w:numPr>
      </w:pPr>
      <w:r w:rsidRPr="006B685A">
        <w:t xml:space="preserve">Compliance with the </w:t>
      </w:r>
      <w:r w:rsidR="00D45ACD">
        <w:t xml:space="preserve">Ethical Supplier </w:t>
      </w:r>
      <w:r w:rsidRPr="006B685A">
        <w:t xml:space="preserve">Threshold is mandatory </w:t>
      </w:r>
      <w:proofErr w:type="gramStart"/>
      <w:r w:rsidRPr="006B685A">
        <w:t xml:space="preserve">in order </w:t>
      </w:r>
      <w:r w:rsidR="00086CC7">
        <w:t>for</w:t>
      </w:r>
      <w:proofErr w:type="gramEnd"/>
      <w:r w:rsidR="00086CC7">
        <w:t xml:space="preserve"> a tender </w:t>
      </w:r>
      <w:r w:rsidRPr="006B685A">
        <w:t xml:space="preserve">to be considered. </w:t>
      </w:r>
      <w:r w:rsidR="00987AEB">
        <w:t xml:space="preserve">Failing to comply with the requirements of the </w:t>
      </w:r>
      <w:r w:rsidR="00A3750D">
        <w:t xml:space="preserve">Ethical Supplier </w:t>
      </w:r>
      <w:r w:rsidR="00987AEB">
        <w:t xml:space="preserve">Threshold is a </w:t>
      </w:r>
      <w:r w:rsidR="003D1039">
        <w:t>‘</w:t>
      </w:r>
      <w:r w:rsidR="00987AEB">
        <w:t>substantial breach</w:t>
      </w:r>
      <w:r w:rsidR="003D1039">
        <w:t>’</w:t>
      </w:r>
      <w:r w:rsidR="00987AEB">
        <w:t xml:space="preserve"> in accordance with Clause</w:t>
      </w:r>
      <w:r w:rsidR="003D1039">
        <w:t>s</w:t>
      </w:r>
      <w:r w:rsidR="00987AEB">
        <w:t xml:space="preserve"> </w:t>
      </w:r>
      <w:r w:rsidR="00D311C5">
        <w:t>11</w:t>
      </w:r>
      <w:r w:rsidR="00987AEB">
        <w:t>.2</w:t>
      </w:r>
      <w:r w:rsidR="00A3750D">
        <w:t>(</w:t>
      </w:r>
      <w:r w:rsidR="00D311C5">
        <w:t>f</w:t>
      </w:r>
      <w:r w:rsidR="00A3750D">
        <w:t xml:space="preserve">) </w:t>
      </w:r>
      <w:r w:rsidR="003E63BE" w:rsidRPr="00681BE6">
        <w:t>of the General Conditions of Contract.</w:t>
      </w:r>
    </w:p>
    <w:p w14:paraId="75DE5981" w14:textId="1E0C708D" w:rsidR="00666611" w:rsidRPr="006B685A" w:rsidRDefault="00666611" w:rsidP="003E6F28">
      <w:pPr>
        <w:pStyle w:val="ListParagraph"/>
        <w:numPr>
          <w:ilvl w:val="0"/>
          <w:numId w:val="19"/>
        </w:numPr>
      </w:pPr>
      <w:r w:rsidRPr="00681BE6">
        <w:t>If the response to any of the question</w:t>
      </w:r>
      <w:r w:rsidR="00987AEB" w:rsidRPr="00681BE6">
        <w:t>s</w:t>
      </w:r>
      <w:r w:rsidRPr="00681BE6">
        <w:t xml:space="preserve"> above is ‘yes’, and without valid justification</w:t>
      </w:r>
      <w:r w:rsidRPr="006B685A">
        <w:t xml:space="preserve"> to the satisfaction of the Principal, the tender may be deemed as non-conforming.</w:t>
      </w:r>
    </w:p>
    <w:p w14:paraId="6E1C9349" w14:textId="2C4DFF21" w:rsidR="00666611" w:rsidRDefault="00666611" w:rsidP="003E6F28">
      <w:pPr>
        <w:pStyle w:val="ListParagraph"/>
        <w:numPr>
          <w:ilvl w:val="0"/>
          <w:numId w:val="19"/>
        </w:numPr>
      </w:pPr>
      <w:r w:rsidRPr="006B685A">
        <w:t xml:space="preserve">The Principal </w:t>
      </w:r>
      <w:r w:rsidR="00086CC7">
        <w:t xml:space="preserve">may </w:t>
      </w:r>
      <w:r w:rsidR="009D5D6B" w:rsidRPr="009D5D6B">
        <w:t xml:space="preserve">obtain information about the Tenderer relevant to </w:t>
      </w:r>
      <w:r w:rsidR="00086CC7">
        <w:t xml:space="preserve">the Tenderer’s compliance with the Ethical Supplier Threshold </w:t>
      </w:r>
      <w:r w:rsidR="009D5D6B" w:rsidRPr="009D5D6B">
        <w:t xml:space="preserve">that may be held by </w:t>
      </w:r>
      <w:r w:rsidR="00086CC7">
        <w:t xml:space="preserve">the QPP Compliance Unit or </w:t>
      </w:r>
      <w:r w:rsidR="009D5D6B" w:rsidRPr="009D5D6B">
        <w:t xml:space="preserve">any Government Department or Instrumentality and take the information into account in assessing the </w:t>
      </w:r>
      <w:r w:rsidR="00086CC7">
        <w:t>tender</w:t>
      </w:r>
      <w:r w:rsidR="009D5D6B" w:rsidRPr="009D5D6B">
        <w:t>.</w:t>
      </w:r>
    </w:p>
    <w:p w14:paraId="52B3624A" w14:textId="0E2ACE07" w:rsidR="00086CC7" w:rsidRPr="00F75BA6" w:rsidRDefault="00086CC7" w:rsidP="003E6F28">
      <w:pPr>
        <w:pStyle w:val="ListParagraph"/>
        <w:numPr>
          <w:ilvl w:val="0"/>
          <w:numId w:val="19"/>
        </w:numPr>
      </w:pPr>
      <w:r w:rsidRPr="00F75BA6">
        <w:t>The Contractor acknowledges that a failure to comply with the Principal’s policies that apply to the work under the proposed contract or the Contractor</w:t>
      </w:r>
      <w:r w:rsidR="00D93764">
        <w:t>'</w:t>
      </w:r>
      <w:r w:rsidRPr="00F75BA6">
        <w:t>s obligations under the proposed contract may result in the imposition of a demerit or sanction under the Ethical Supplier Mandate, in addition to any other remedies available to the Principal under this Contract.</w:t>
      </w:r>
    </w:p>
    <w:p w14:paraId="07D6EBB9" w14:textId="5BC4528E" w:rsidR="00723430" w:rsidRDefault="00666611" w:rsidP="003E6F28">
      <w:pPr>
        <w:pStyle w:val="ListParagraph"/>
        <w:numPr>
          <w:ilvl w:val="0"/>
          <w:numId w:val="19"/>
        </w:numPr>
      </w:pPr>
      <w:r w:rsidRPr="006B685A">
        <w:t xml:space="preserve">Once the contract is awarded, the </w:t>
      </w:r>
      <w:r w:rsidR="00086CC7">
        <w:t>C</w:t>
      </w:r>
      <w:r w:rsidRPr="006B685A">
        <w:t xml:space="preserve">ontractor is required to comply with the </w:t>
      </w:r>
      <w:r w:rsidR="00086CC7">
        <w:t xml:space="preserve">Ethical Supplier </w:t>
      </w:r>
      <w:r w:rsidRPr="006B685A">
        <w:t xml:space="preserve">Threshold during the contract term. The Principal reserves the right to give a show cause notice if the Principal reasonably suspect the </w:t>
      </w:r>
      <w:r w:rsidR="003D1039">
        <w:t>Contractor</w:t>
      </w:r>
      <w:r w:rsidR="00D45ACD" w:rsidRPr="006B685A">
        <w:t xml:space="preserve"> </w:t>
      </w:r>
      <w:r w:rsidRPr="006B685A">
        <w:t xml:space="preserve">is not complying with the </w:t>
      </w:r>
      <w:r w:rsidR="00086CC7">
        <w:t xml:space="preserve">Ethical Supplier </w:t>
      </w:r>
      <w:r w:rsidRPr="006B685A">
        <w:t>Threshold.</w:t>
      </w:r>
    </w:p>
    <w:p w14:paraId="36EFE06F" w14:textId="47760523" w:rsidR="00723430" w:rsidRDefault="00723430" w:rsidP="003E6F28">
      <w:pPr>
        <w:spacing w:before="240" w:line="240" w:lineRule="auto"/>
      </w:pPr>
      <w:r>
        <w:t>Definitions:</w:t>
      </w:r>
    </w:p>
    <w:p w14:paraId="514E88F3" w14:textId="262A8BDC" w:rsidR="009D6DDD" w:rsidRDefault="009D6DDD" w:rsidP="009D6DDD">
      <w:pPr>
        <w:pStyle w:val="ListParagraph"/>
        <w:numPr>
          <w:ilvl w:val="0"/>
          <w:numId w:val="19"/>
        </w:numPr>
      </w:pPr>
      <w:r>
        <w:t>Ethical Supplier Mandate means the Queensland Government Policy titled ‘Ethical Supplier Mandate’ or any policy that replaces that policy;</w:t>
      </w:r>
    </w:p>
    <w:p w14:paraId="4CE8A18D" w14:textId="0175FAFE" w:rsidR="009D6DDD" w:rsidRDefault="009D6DDD" w:rsidP="009D6DDD">
      <w:pPr>
        <w:pStyle w:val="ListParagraph"/>
        <w:numPr>
          <w:ilvl w:val="0"/>
          <w:numId w:val="19"/>
        </w:numPr>
      </w:pPr>
      <w:r>
        <w:t>Ethical Supplier Threshold means the Ethical Supplier Threshold in paragraph 2.3 of the Queensland Procurement Policy;</w:t>
      </w:r>
    </w:p>
    <w:p w14:paraId="138A7ECF" w14:textId="21B46A8D" w:rsidR="009D6DDD" w:rsidRDefault="009D6DDD" w:rsidP="009D6DDD">
      <w:pPr>
        <w:pStyle w:val="ListParagraph"/>
        <w:numPr>
          <w:ilvl w:val="0"/>
          <w:numId w:val="19"/>
        </w:numPr>
      </w:pPr>
      <w:r>
        <w:t>Government Department or Instrumentality means any governmental regulator, including Work Health Safety Queensland, the Queensland Building and Construction Commission, the Fair Work Commission and the Australian Building and Construction Commission; and</w:t>
      </w:r>
    </w:p>
    <w:p w14:paraId="33EED735" w14:textId="7CFC0DFF" w:rsidR="00666611" w:rsidRPr="006B685A" w:rsidRDefault="009D6DDD" w:rsidP="00B42849">
      <w:pPr>
        <w:pStyle w:val="ListParagraph"/>
        <w:numPr>
          <w:ilvl w:val="0"/>
          <w:numId w:val="19"/>
        </w:numPr>
      </w:pPr>
      <w:r>
        <w:t xml:space="preserve">QPP Compliance Unit means the Queensland Procurement Policy (QPP) Compliance Unit, Office of the Chief </w:t>
      </w:r>
      <w:r w:rsidR="00D93764">
        <w:t>Advisor – </w:t>
      </w:r>
      <w:r>
        <w:t>Procurement, Department of Housing and Public Works.</w:t>
      </w:r>
    </w:p>
    <w:sectPr w:rsidR="00666611" w:rsidRPr="006B685A" w:rsidSect="00666611">
      <w:headerReference w:type="default" r:id="rId13"/>
      <w:footerReference w:type="default" r:id="rId14"/>
      <w:pgSz w:w="11906" w:h="16838" w:code="9"/>
      <w:pgMar w:top="1418" w:right="1337" w:bottom="1418" w:left="1418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5468" w14:textId="77777777" w:rsidR="006C51E0" w:rsidRDefault="006C51E0">
      <w:r>
        <w:separator/>
      </w:r>
    </w:p>
    <w:p w14:paraId="0B0BFD11" w14:textId="77777777" w:rsidR="006C51E0" w:rsidRDefault="006C51E0"/>
  </w:endnote>
  <w:endnote w:type="continuationSeparator" w:id="0">
    <w:p w14:paraId="7A5C55EF" w14:textId="77777777" w:rsidR="006C51E0" w:rsidRDefault="006C51E0">
      <w:r>
        <w:continuationSeparator/>
      </w:r>
    </w:p>
    <w:p w14:paraId="4359AF41" w14:textId="77777777" w:rsidR="006C51E0" w:rsidRDefault="006C5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3E75" w14:textId="05CCED6E" w:rsidR="00A71A92" w:rsidRDefault="000C65D0" w:rsidP="00703D61">
    <w:pPr>
      <w:pStyle w:val="Footer"/>
      <w:tabs>
        <w:tab w:val="clear" w:pos="9540"/>
        <w:tab w:val="right" w:pos="14034"/>
      </w:tabs>
      <w:ind w:right="-488"/>
    </w:pPr>
    <w:r>
      <w:t xml:space="preserve">Road Maintenance Performance Contract (RMPC), </w:t>
    </w:r>
    <w:r w:rsidR="00A71A92" w:rsidRPr="00391457">
      <w:t>Trans</w:t>
    </w:r>
    <w:r w:rsidR="00A71A92">
      <w:t>p</w:t>
    </w:r>
    <w:r w:rsidR="006A30A6">
      <w:t>ort and Main Roads,</w:t>
    </w:r>
    <w:r w:rsidR="00297364">
      <w:t xml:space="preserve"> </w:t>
    </w:r>
    <w:r>
      <w:t xml:space="preserve">April </w:t>
    </w:r>
    <w:r w:rsidR="00B82E97">
      <w:t>2020</w:t>
    </w:r>
    <w:r w:rsidR="00A71A92">
      <w:tab/>
    </w:r>
    <w:r w:rsidR="00A71A92" w:rsidRPr="00BF0295">
      <w:rPr>
        <w:rStyle w:val="PageNumber"/>
      </w:rPr>
      <w:fldChar w:fldCharType="begin"/>
    </w:r>
    <w:r w:rsidR="00A71A92" w:rsidRPr="00BF0295">
      <w:rPr>
        <w:rStyle w:val="PageNumber"/>
      </w:rPr>
      <w:instrText xml:space="preserve">PAGE  </w:instrText>
    </w:r>
    <w:r w:rsidR="00A71A92" w:rsidRPr="00BF0295">
      <w:rPr>
        <w:rStyle w:val="PageNumber"/>
      </w:rPr>
      <w:fldChar w:fldCharType="separate"/>
    </w:r>
    <w:r w:rsidR="003F5CC5">
      <w:rPr>
        <w:rStyle w:val="PageNumber"/>
        <w:noProof/>
      </w:rPr>
      <w:t>2</w:t>
    </w:r>
    <w:r w:rsidR="00A71A92" w:rsidRPr="00BF0295">
      <w:rPr>
        <w:rStyle w:val="PageNumber"/>
      </w:rPr>
      <w:fldChar w:fldCharType="end"/>
    </w:r>
    <w:r w:rsidR="00A71A92">
      <w:rPr>
        <w:rStyle w:val="PageNumber"/>
      </w:rPr>
      <w:t xml:space="preserve"> of </w:t>
    </w:r>
    <w:r w:rsidR="00A71A92" w:rsidRPr="00BF0295">
      <w:rPr>
        <w:rStyle w:val="PageNumber"/>
      </w:rPr>
      <w:fldChar w:fldCharType="begin"/>
    </w:r>
    <w:r w:rsidR="00A71A92">
      <w:rPr>
        <w:rStyle w:val="PageNumber"/>
      </w:rPr>
      <w:instrText>NumPages</w:instrText>
    </w:r>
    <w:r w:rsidR="00A71A92" w:rsidRPr="00BF0295">
      <w:rPr>
        <w:rStyle w:val="PageNumber"/>
      </w:rPr>
      <w:instrText xml:space="preserve">  </w:instrText>
    </w:r>
    <w:r w:rsidR="00A71A92" w:rsidRPr="00BF0295">
      <w:rPr>
        <w:rStyle w:val="PageNumber"/>
      </w:rPr>
      <w:fldChar w:fldCharType="separate"/>
    </w:r>
    <w:r w:rsidR="003F5CC5">
      <w:rPr>
        <w:rStyle w:val="PageNumber"/>
        <w:noProof/>
      </w:rPr>
      <w:t>3</w:t>
    </w:r>
    <w:r w:rsidR="00A71A92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67BA" w14:textId="77777777" w:rsidR="006C51E0" w:rsidRDefault="006C51E0">
      <w:r>
        <w:separator/>
      </w:r>
    </w:p>
    <w:p w14:paraId="03F5296F" w14:textId="77777777" w:rsidR="006C51E0" w:rsidRDefault="006C51E0"/>
  </w:footnote>
  <w:footnote w:type="continuationSeparator" w:id="0">
    <w:p w14:paraId="00F45EFE" w14:textId="77777777" w:rsidR="006C51E0" w:rsidRDefault="006C51E0">
      <w:r>
        <w:continuationSeparator/>
      </w:r>
    </w:p>
    <w:p w14:paraId="39ECF73D" w14:textId="77777777" w:rsidR="006C51E0" w:rsidRDefault="006C5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8747" w14:textId="769CA808" w:rsidR="008F5C11" w:rsidRPr="007E6BE4" w:rsidRDefault="000A1269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59F88B3" wp14:editId="21E52C9B">
          <wp:simplePos x="0" y="0"/>
          <wp:positionH relativeFrom="margin">
            <wp:posOffset>3872285</wp:posOffset>
          </wp:positionH>
          <wp:positionV relativeFrom="paragraph">
            <wp:posOffset>-414</wp:posOffset>
          </wp:positionV>
          <wp:extent cx="2257200" cy="3924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C11"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05152" wp14:editId="31FC6B2A">
          <wp:simplePos x="0" y="0"/>
          <wp:positionH relativeFrom="margin">
            <wp:posOffset>6634480</wp:posOffset>
          </wp:positionH>
          <wp:positionV relativeFrom="paragraph">
            <wp:posOffset>-2963</wp:posOffset>
          </wp:positionV>
          <wp:extent cx="2257200" cy="392400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C40">
      <w:rPr>
        <w:b/>
        <w:sz w:val="32"/>
        <w:szCs w:val="32"/>
      </w:rPr>
      <w:t>Tender Schedule S10</w:t>
    </w:r>
    <w:r w:rsidR="00D311C5">
      <w:rPr>
        <w:b/>
        <w:sz w:val="32"/>
        <w:szCs w:val="32"/>
      </w:rPr>
      <w:t>.RMPC</w:t>
    </w:r>
  </w:p>
  <w:p w14:paraId="728381F6" w14:textId="231BCCC6" w:rsidR="008F5C11" w:rsidRPr="009A5177" w:rsidRDefault="00E10C40" w:rsidP="00C5054B">
    <w:pPr>
      <w:pStyle w:val="HeaderChapterpart"/>
      <w:rPr>
        <w:sz w:val="4"/>
        <w:szCs w:val="4"/>
      </w:rPr>
    </w:pPr>
    <w:r>
      <w:rPr>
        <w:sz w:val="32"/>
        <w:szCs w:val="32"/>
      </w:rPr>
      <w:t>Ethical Supplier Threshold</w:t>
    </w:r>
  </w:p>
  <w:p w14:paraId="3A1DAC09" w14:textId="77777777" w:rsidR="008F5C11" w:rsidRDefault="008F5C11" w:rsidP="00C5054B">
    <w:pPr>
      <w:pStyle w:val="HeaderChapterpart"/>
      <w:pBdr>
        <w:bottom w:val="none" w:sz="0" w:space="0" w:color="auto"/>
      </w:pBdr>
    </w:pPr>
  </w:p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2126"/>
      <w:gridCol w:w="2268"/>
    </w:tblGrid>
    <w:tr w:rsidR="008F5C11" w:rsidRPr="00125B5A" w14:paraId="51537883" w14:textId="77777777" w:rsidTr="000F4DA7">
      <w:trPr>
        <w:trHeight w:val="255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1F5D9DE1" w14:textId="3EF7600A" w:rsidR="008F5C11" w:rsidRPr="00133AE0" w:rsidRDefault="00E10C40" w:rsidP="00347D19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C7810.S</w:t>
          </w:r>
          <w:proofErr w:type="gramStart"/>
          <w:r>
            <w:rPr>
              <w:b/>
              <w:sz w:val="22"/>
              <w:szCs w:val="22"/>
            </w:rPr>
            <w:t>10</w:t>
          </w:r>
          <w:r w:rsidR="00D311C5">
            <w:rPr>
              <w:b/>
              <w:sz w:val="22"/>
              <w:szCs w:val="22"/>
            </w:rPr>
            <w:t>.RMPC</w:t>
          </w:r>
          <w:proofErr w:type="gramEnd"/>
          <w:r w:rsidR="00617495">
            <w:rPr>
              <w:b/>
              <w:sz w:val="22"/>
              <w:szCs w:val="22"/>
            </w:rPr>
            <w:t xml:space="preserve"> </w:t>
          </w:r>
        </w:p>
      </w:tc>
      <w:tc>
        <w:tcPr>
          <w:tcW w:w="2126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657E7496" w14:textId="77777777" w:rsidR="008F5C11" w:rsidRPr="00133AE0" w:rsidRDefault="008F5C11" w:rsidP="00666611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 w:rsidRPr="00133AE0">
            <w:rPr>
              <w:b/>
              <w:sz w:val="22"/>
              <w:szCs w:val="22"/>
            </w:rPr>
            <w:t>Contract Number:</w:t>
          </w:r>
        </w:p>
      </w:tc>
      <w:tc>
        <w:tcPr>
          <w:tcW w:w="2268" w:type="dxa"/>
          <w:shd w:val="clear" w:color="auto" w:fill="auto"/>
          <w:vAlign w:val="bottom"/>
        </w:tcPr>
        <w:p w14:paraId="3F4B9302" w14:textId="77777777" w:rsidR="008F5C11" w:rsidRPr="00133AE0" w:rsidRDefault="008F5C11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0A4309B1" w14:textId="77777777" w:rsidR="008F5C11" w:rsidRPr="004D7425" w:rsidRDefault="008F5C11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CE3E36"/>
    <w:multiLevelType w:val="hybridMultilevel"/>
    <w:tmpl w:val="22B867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96138C0"/>
    <w:multiLevelType w:val="hybridMultilevel"/>
    <w:tmpl w:val="ADF87F2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C0341"/>
    <w:multiLevelType w:val="hybridMultilevel"/>
    <w:tmpl w:val="2CFAE0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32680"/>
    <w:multiLevelType w:val="hybridMultilevel"/>
    <w:tmpl w:val="7AB4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4B257CC9"/>
    <w:multiLevelType w:val="hybridMultilevel"/>
    <w:tmpl w:val="F4DE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347"/>
    <w:multiLevelType w:val="multilevel"/>
    <w:tmpl w:val="620CC31C"/>
    <w:numStyleLink w:val="ListAllBullets3Level"/>
  </w:abstractNum>
  <w:abstractNum w:abstractNumId="14" w15:restartNumberingAfterBreak="0">
    <w:nsid w:val="6346474E"/>
    <w:multiLevelType w:val="multilevel"/>
    <w:tmpl w:val="9B0216C0"/>
    <w:numStyleLink w:val="ListAllNum3Level"/>
  </w:abstractNum>
  <w:abstractNum w:abstractNumId="1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B44635"/>
    <w:multiLevelType w:val="hybridMultilevel"/>
    <w:tmpl w:val="DEC48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8"/>
  </w:num>
  <w:num w:numId="18">
    <w:abstractNumId w:val="7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331CF"/>
    <w:rsid w:val="00042CEB"/>
    <w:rsid w:val="00054F81"/>
    <w:rsid w:val="0006499F"/>
    <w:rsid w:val="00066DBE"/>
    <w:rsid w:val="00070044"/>
    <w:rsid w:val="0007165A"/>
    <w:rsid w:val="00086CC7"/>
    <w:rsid w:val="000913ED"/>
    <w:rsid w:val="00096FC7"/>
    <w:rsid w:val="000A1269"/>
    <w:rsid w:val="000B047B"/>
    <w:rsid w:val="000B2DC7"/>
    <w:rsid w:val="000B71E8"/>
    <w:rsid w:val="000C65D0"/>
    <w:rsid w:val="000E1CE3"/>
    <w:rsid w:val="000F4DA7"/>
    <w:rsid w:val="0010210A"/>
    <w:rsid w:val="0010528D"/>
    <w:rsid w:val="00114492"/>
    <w:rsid w:val="00114E96"/>
    <w:rsid w:val="00115E98"/>
    <w:rsid w:val="00125B5A"/>
    <w:rsid w:val="00133AE0"/>
    <w:rsid w:val="001474AB"/>
    <w:rsid w:val="001561AC"/>
    <w:rsid w:val="00172FEB"/>
    <w:rsid w:val="00176CC5"/>
    <w:rsid w:val="001928AF"/>
    <w:rsid w:val="0019666A"/>
    <w:rsid w:val="001A4752"/>
    <w:rsid w:val="001A697D"/>
    <w:rsid w:val="001B1393"/>
    <w:rsid w:val="001C12A2"/>
    <w:rsid w:val="001C6957"/>
    <w:rsid w:val="001C6D5F"/>
    <w:rsid w:val="001E1127"/>
    <w:rsid w:val="001E3E78"/>
    <w:rsid w:val="001F2035"/>
    <w:rsid w:val="001F23FB"/>
    <w:rsid w:val="001F5104"/>
    <w:rsid w:val="00216756"/>
    <w:rsid w:val="00216F79"/>
    <w:rsid w:val="00217457"/>
    <w:rsid w:val="00221E00"/>
    <w:rsid w:val="00231903"/>
    <w:rsid w:val="00232573"/>
    <w:rsid w:val="00234B98"/>
    <w:rsid w:val="00240537"/>
    <w:rsid w:val="002405CD"/>
    <w:rsid w:val="002407FF"/>
    <w:rsid w:val="0025401B"/>
    <w:rsid w:val="0025449F"/>
    <w:rsid w:val="002669B1"/>
    <w:rsid w:val="00271868"/>
    <w:rsid w:val="002738CB"/>
    <w:rsid w:val="00273C11"/>
    <w:rsid w:val="00277E0F"/>
    <w:rsid w:val="00287680"/>
    <w:rsid w:val="00297364"/>
    <w:rsid w:val="00297B8D"/>
    <w:rsid w:val="002A50A0"/>
    <w:rsid w:val="002B43FC"/>
    <w:rsid w:val="002E074D"/>
    <w:rsid w:val="002E0B83"/>
    <w:rsid w:val="002E33D6"/>
    <w:rsid w:val="002F2356"/>
    <w:rsid w:val="0030503A"/>
    <w:rsid w:val="003108B7"/>
    <w:rsid w:val="00314DE7"/>
    <w:rsid w:val="00315F53"/>
    <w:rsid w:val="00322F9D"/>
    <w:rsid w:val="003231FA"/>
    <w:rsid w:val="003323B1"/>
    <w:rsid w:val="00336228"/>
    <w:rsid w:val="00347915"/>
    <w:rsid w:val="00347D19"/>
    <w:rsid w:val="00350E10"/>
    <w:rsid w:val="00361264"/>
    <w:rsid w:val="00363C04"/>
    <w:rsid w:val="00365778"/>
    <w:rsid w:val="003717FA"/>
    <w:rsid w:val="00376A0A"/>
    <w:rsid w:val="0038058E"/>
    <w:rsid w:val="00383A3B"/>
    <w:rsid w:val="00391457"/>
    <w:rsid w:val="003960ED"/>
    <w:rsid w:val="003A5033"/>
    <w:rsid w:val="003B23DC"/>
    <w:rsid w:val="003C340E"/>
    <w:rsid w:val="003D1039"/>
    <w:rsid w:val="003D1729"/>
    <w:rsid w:val="003E0E9D"/>
    <w:rsid w:val="003E3C82"/>
    <w:rsid w:val="003E63BE"/>
    <w:rsid w:val="003E6F28"/>
    <w:rsid w:val="003F5CC5"/>
    <w:rsid w:val="00400CF8"/>
    <w:rsid w:val="004030EB"/>
    <w:rsid w:val="00403422"/>
    <w:rsid w:val="0042732D"/>
    <w:rsid w:val="004525EA"/>
    <w:rsid w:val="004564C1"/>
    <w:rsid w:val="00456933"/>
    <w:rsid w:val="00456A07"/>
    <w:rsid w:val="00477792"/>
    <w:rsid w:val="004B63E3"/>
    <w:rsid w:val="004B642B"/>
    <w:rsid w:val="004C358F"/>
    <w:rsid w:val="004D7425"/>
    <w:rsid w:val="004E3F40"/>
    <w:rsid w:val="004E49B7"/>
    <w:rsid w:val="004F4085"/>
    <w:rsid w:val="004F492F"/>
    <w:rsid w:val="004F6C37"/>
    <w:rsid w:val="004F735A"/>
    <w:rsid w:val="00501027"/>
    <w:rsid w:val="00505C90"/>
    <w:rsid w:val="00521D18"/>
    <w:rsid w:val="005233EF"/>
    <w:rsid w:val="00526282"/>
    <w:rsid w:val="00530265"/>
    <w:rsid w:val="00534ABE"/>
    <w:rsid w:val="005424A4"/>
    <w:rsid w:val="0054343C"/>
    <w:rsid w:val="005477A1"/>
    <w:rsid w:val="00556E72"/>
    <w:rsid w:val="005707D5"/>
    <w:rsid w:val="00575CE8"/>
    <w:rsid w:val="005815CB"/>
    <w:rsid w:val="00582599"/>
    <w:rsid w:val="00582E91"/>
    <w:rsid w:val="0059511F"/>
    <w:rsid w:val="005B1DDF"/>
    <w:rsid w:val="005B26A5"/>
    <w:rsid w:val="005C1DF1"/>
    <w:rsid w:val="005D3973"/>
    <w:rsid w:val="005D474C"/>
    <w:rsid w:val="005D59C0"/>
    <w:rsid w:val="005E7F89"/>
    <w:rsid w:val="0060080E"/>
    <w:rsid w:val="0061185E"/>
    <w:rsid w:val="00617495"/>
    <w:rsid w:val="00622BC5"/>
    <w:rsid w:val="006275BD"/>
    <w:rsid w:val="00627EC8"/>
    <w:rsid w:val="00635475"/>
    <w:rsid w:val="00641639"/>
    <w:rsid w:val="00644B30"/>
    <w:rsid w:val="00645A39"/>
    <w:rsid w:val="00653DDD"/>
    <w:rsid w:val="00666611"/>
    <w:rsid w:val="00666E20"/>
    <w:rsid w:val="00676214"/>
    <w:rsid w:val="00681BE6"/>
    <w:rsid w:val="00686875"/>
    <w:rsid w:val="006A30A6"/>
    <w:rsid w:val="006A42BE"/>
    <w:rsid w:val="006A6908"/>
    <w:rsid w:val="006B685A"/>
    <w:rsid w:val="006C2B1A"/>
    <w:rsid w:val="006C2DFD"/>
    <w:rsid w:val="006C51E0"/>
    <w:rsid w:val="006D2668"/>
    <w:rsid w:val="006D2FDF"/>
    <w:rsid w:val="006D52CB"/>
    <w:rsid w:val="006D553A"/>
    <w:rsid w:val="00703D61"/>
    <w:rsid w:val="00712CBD"/>
    <w:rsid w:val="00723430"/>
    <w:rsid w:val="00723F1A"/>
    <w:rsid w:val="007305BD"/>
    <w:rsid w:val="00730C95"/>
    <w:rsid w:val="007364AC"/>
    <w:rsid w:val="007462A6"/>
    <w:rsid w:val="00760164"/>
    <w:rsid w:val="007672DC"/>
    <w:rsid w:val="0077261D"/>
    <w:rsid w:val="007751BE"/>
    <w:rsid w:val="00785550"/>
    <w:rsid w:val="00793FA9"/>
    <w:rsid w:val="00796D7D"/>
    <w:rsid w:val="007A0F7D"/>
    <w:rsid w:val="007C4319"/>
    <w:rsid w:val="007D0963"/>
    <w:rsid w:val="007D76AC"/>
    <w:rsid w:val="007E6BE4"/>
    <w:rsid w:val="007F3820"/>
    <w:rsid w:val="00811807"/>
    <w:rsid w:val="0085676B"/>
    <w:rsid w:val="00873732"/>
    <w:rsid w:val="008807C8"/>
    <w:rsid w:val="008843E8"/>
    <w:rsid w:val="008A19A0"/>
    <w:rsid w:val="008B00CE"/>
    <w:rsid w:val="008B3748"/>
    <w:rsid w:val="008B61BF"/>
    <w:rsid w:val="008B66E1"/>
    <w:rsid w:val="008D02E2"/>
    <w:rsid w:val="008F36D9"/>
    <w:rsid w:val="008F47F2"/>
    <w:rsid w:val="008F5C11"/>
    <w:rsid w:val="00900A0C"/>
    <w:rsid w:val="00904118"/>
    <w:rsid w:val="00913881"/>
    <w:rsid w:val="0091452E"/>
    <w:rsid w:val="00926AFF"/>
    <w:rsid w:val="00940C46"/>
    <w:rsid w:val="00944A3A"/>
    <w:rsid w:val="00945942"/>
    <w:rsid w:val="00946A9D"/>
    <w:rsid w:val="0098641F"/>
    <w:rsid w:val="00987AEB"/>
    <w:rsid w:val="0099604F"/>
    <w:rsid w:val="00996C59"/>
    <w:rsid w:val="009A030F"/>
    <w:rsid w:val="009A5177"/>
    <w:rsid w:val="009A671A"/>
    <w:rsid w:val="009B39D2"/>
    <w:rsid w:val="009B6FF8"/>
    <w:rsid w:val="009D5D6B"/>
    <w:rsid w:val="009D6DDD"/>
    <w:rsid w:val="009E22DF"/>
    <w:rsid w:val="009E5C89"/>
    <w:rsid w:val="00A00F46"/>
    <w:rsid w:val="00A12D4E"/>
    <w:rsid w:val="00A20B17"/>
    <w:rsid w:val="00A27877"/>
    <w:rsid w:val="00A30981"/>
    <w:rsid w:val="00A3750D"/>
    <w:rsid w:val="00A52AB4"/>
    <w:rsid w:val="00A54484"/>
    <w:rsid w:val="00A71A92"/>
    <w:rsid w:val="00A80CB8"/>
    <w:rsid w:val="00A832D7"/>
    <w:rsid w:val="00A9555C"/>
    <w:rsid w:val="00AA18F5"/>
    <w:rsid w:val="00AA6B2F"/>
    <w:rsid w:val="00AA7630"/>
    <w:rsid w:val="00AA7C6C"/>
    <w:rsid w:val="00AB17CE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13000"/>
    <w:rsid w:val="00B4064C"/>
    <w:rsid w:val="00B42849"/>
    <w:rsid w:val="00B705E6"/>
    <w:rsid w:val="00B712C5"/>
    <w:rsid w:val="00B82E97"/>
    <w:rsid w:val="00B8333F"/>
    <w:rsid w:val="00B83645"/>
    <w:rsid w:val="00B8519F"/>
    <w:rsid w:val="00BA1717"/>
    <w:rsid w:val="00BA5FF3"/>
    <w:rsid w:val="00BA70E2"/>
    <w:rsid w:val="00BB09C2"/>
    <w:rsid w:val="00BB12D3"/>
    <w:rsid w:val="00BB468F"/>
    <w:rsid w:val="00BC17C8"/>
    <w:rsid w:val="00BC3ED2"/>
    <w:rsid w:val="00BC68B8"/>
    <w:rsid w:val="00BD257C"/>
    <w:rsid w:val="00BD33BA"/>
    <w:rsid w:val="00BD5378"/>
    <w:rsid w:val="00BD758C"/>
    <w:rsid w:val="00BE327E"/>
    <w:rsid w:val="00BE630E"/>
    <w:rsid w:val="00BE6F04"/>
    <w:rsid w:val="00BF0295"/>
    <w:rsid w:val="00BF2FA5"/>
    <w:rsid w:val="00BF373B"/>
    <w:rsid w:val="00BF7B37"/>
    <w:rsid w:val="00C26358"/>
    <w:rsid w:val="00C33EEE"/>
    <w:rsid w:val="00C34106"/>
    <w:rsid w:val="00C34247"/>
    <w:rsid w:val="00C352F9"/>
    <w:rsid w:val="00C40C8D"/>
    <w:rsid w:val="00C42BD1"/>
    <w:rsid w:val="00C50278"/>
    <w:rsid w:val="00C5054B"/>
    <w:rsid w:val="00C63E72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311C5"/>
    <w:rsid w:val="00D435F2"/>
    <w:rsid w:val="00D45ACD"/>
    <w:rsid w:val="00D550FE"/>
    <w:rsid w:val="00D56593"/>
    <w:rsid w:val="00D67F00"/>
    <w:rsid w:val="00D829E6"/>
    <w:rsid w:val="00D8447C"/>
    <w:rsid w:val="00D86598"/>
    <w:rsid w:val="00D93764"/>
    <w:rsid w:val="00D950D3"/>
    <w:rsid w:val="00DA20DD"/>
    <w:rsid w:val="00DC076F"/>
    <w:rsid w:val="00DC376C"/>
    <w:rsid w:val="00DC6AC0"/>
    <w:rsid w:val="00DE56ED"/>
    <w:rsid w:val="00DF1C54"/>
    <w:rsid w:val="00DF27E0"/>
    <w:rsid w:val="00DF40B1"/>
    <w:rsid w:val="00E10C40"/>
    <w:rsid w:val="00E45D01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27EF6"/>
    <w:rsid w:val="00F30D7C"/>
    <w:rsid w:val="00F322FA"/>
    <w:rsid w:val="00F40DC1"/>
    <w:rsid w:val="00F44BA4"/>
    <w:rsid w:val="00F45A8D"/>
    <w:rsid w:val="00F61913"/>
    <w:rsid w:val="00F64B7F"/>
    <w:rsid w:val="00F70E96"/>
    <w:rsid w:val="00F84BCC"/>
    <w:rsid w:val="00F87D4E"/>
    <w:rsid w:val="00FA5570"/>
    <w:rsid w:val="00FA752B"/>
    <w:rsid w:val="00FB1E71"/>
    <w:rsid w:val="00FB66C6"/>
    <w:rsid w:val="00FC2AE6"/>
    <w:rsid w:val="00FC5568"/>
    <w:rsid w:val="00FC5DE8"/>
    <w:rsid w:val="00FC6AED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8126F4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3820"/>
    <w:rPr>
      <w:color w:val="808080"/>
    </w:rPr>
  </w:style>
  <w:style w:type="paragraph" w:styleId="BalloonText">
    <w:name w:val="Balloon Text"/>
    <w:basedOn w:val="Normal"/>
    <w:link w:val="BalloonTextChar"/>
    <w:rsid w:val="00BA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17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567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7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5676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5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76B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3F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749B451B38147B4EA1D39529D3B3C" ma:contentTypeVersion="14" ma:contentTypeDescription="Create a new document." ma:contentTypeScope="" ma:versionID="ede1677d71422fdf7ad68cb574054c7c">
  <xsd:schema xmlns:xsd="http://www.w3.org/2001/XMLSchema" xmlns:xs="http://www.w3.org/2001/XMLSchema" xmlns:p="http://schemas.microsoft.com/office/2006/metadata/properties" xmlns:ns2="3459bed9-4629-408f-bcae-6f68098393b5" xmlns:ns3="74e99b4e-8903-4e8d-aff8-1e1df4396151" targetNamespace="http://schemas.microsoft.com/office/2006/metadata/properties" ma:root="true" ma:fieldsID="27853f447911b994d5207c60f8d3be22" ns2:_="" ns3:_="">
    <xsd:import namespace="3459bed9-4629-408f-bcae-6f68098393b5"/>
    <xsd:import namespace="74e99b4e-8903-4e8d-aff8-1e1df4396151"/>
    <xsd:element name="properties">
      <xsd:complexType>
        <xsd:sequence>
          <xsd:element name="documentManagement">
            <xsd:complexType>
              <xsd:all>
                <xsd:element ref="ns2:PCU_x0020_Category" minOccurs="0"/>
                <xsd:element ref="ns2:PCU_x0020_Document_x0020_Type" minOccurs="0"/>
                <xsd:element ref="ns2:Document_x0020_Date" minOccurs="0"/>
                <xsd:element ref="ns2: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9bed9-4629-408f-bcae-6f68098393b5" elementFormDefault="qualified">
    <xsd:import namespace="http://schemas.microsoft.com/office/2006/documentManagement/types"/>
    <xsd:import namespace="http://schemas.microsoft.com/office/infopath/2007/PartnerControls"/>
    <xsd:element name="PCU_x0020_Category" ma:index="4" nillable="true" ma:displayName="PCU Page Category" ma:internalName="PCU_x0020_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CU"/>
                    <xsd:enumeration value="Prequalification"/>
                    <xsd:enumeration value="Contracts"/>
                    <xsd:enumeration value="Delivery Service Improvement"/>
                    <xsd:enumeration value="Industry and Policy"/>
                  </xsd:restriction>
                </xsd:simpleType>
              </xsd:element>
            </xsd:sequence>
          </xsd:extension>
        </xsd:complexContent>
      </xsd:complexType>
    </xsd:element>
    <xsd:element name="PCU_x0020_Document_x0020_Type" ma:index="5" nillable="true" ma:displayName="PCU Document Type" ma:format="Dropdown" ma:internalName="PCU_x0020_Document_x0020_Type" ma:readOnly="false">
      <xsd:simpleType>
        <xsd:restriction base="dms:Choice">
          <xsd:enumeration value="Newsletter"/>
          <xsd:enumeration value="Contract Mangement Forum"/>
        </xsd:restriction>
      </xsd:simpleType>
    </xsd:element>
    <xsd:element name="Document_x0020_Date" ma:index="6" nillable="true" ma:displayName="Document Date" ma:format="DateOnly" ma:internalName="Document_x0020_Date" ma:readOnly="false">
      <xsd:simpleType>
        <xsd:restriction base="dms:DateTime"/>
      </xsd:simpleType>
    </xsd:element>
    <xsd:element name="Year" ma:index="7" nillable="true" ma:displayName="Year" ma:internalName="Year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99b4e-8903-4e8d-aff8-1e1df439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U_x0020_Category xmlns="3459bed9-4629-408f-bcae-6f68098393b5">
      <Value>PCU</Value>
    </PCU_x0020_Category>
    <Document_x0020_Date xmlns="3459bed9-4629-408f-bcae-6f68098393b5">2019-08-26T14:00:00+00:00</Document_x0020_Date>
    <Year xmlns="3459bed9-4629-408f-bcae-6f68098393b5">2019</Year>
    <PCU_x0020_Document_x0020_Type xmlns="3459bed9-4629-408f-bcae-6f68098393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66AA70-D0C7-4FFA-AD91-1C032D2B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9bed9-4629-408f-bcae-6f68098393b5"/>
    <ds:schemaRef ds:uri="74e99b4e-8903-4e8d-aff8-1e1df4396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3459bed9-4629-408f-bcae-6f68098393b5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4e99b4e-8903-4e8d-aff8-1e1df4396151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F46F78-85F0-4E9D-A607-066369AE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2</Pages>
  <Words>642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C7810.S3.RMPC</vt:lpstr>
    </vt:vector>
  </TitlesOfParts>
  <Company>Department of Transport and Main Roads</Company>
  <LinksUpToDate>false</LinksUpToDate>
  <CharactersWithSpaces>4149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C7810.S3.RMPC</dc:title>
  <dc:subject> Tender Schedule S3 - Traffic Management Plan Outline</dc:subject>
  <dc:creator>Department of Transport and Main Roads</dc:creator>
  <cp:keywords>RMPC; road; maintenance; performance; contract;</cp:keywords>
  <dc:description/>
  <cp:lastModifiedBy>Courtney M West</cp:lastModifiedBy>
  <cp:revision>5</cp:revision>
  <cp:lastPrinted>2019-07-24T06:04:00Z</cp:lastPrinted>
  <dcterms:created xsi:type="dcterms:W3CDTF">2020-04-08T05:59:00Z</dcterms:created>
  <dcterms:modified xsi:type="dcterms:W3CDTF">2020-04-08T06:00:00Z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ContentTypeId">
    <vt:lpwstr>0x0101003CA749B451B38147B4EA1D39529D3B3C</vt:lpwstr>
  </property>
</Properties>
</file>