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BD59" w14:textId="77777777" w:rsidR="00F9714C" w:rsidRDefault="00F9714C" w:rsidP="006B3047">
      <w:pPr>
        <w:spacing w:after="0"/>
        <w:jc w:val="center"/>
        <w:rPr>
          <w:rFonts w:ascii="Lato" w:hAnsi="Lato"/>
          <w:b/>
          <w:sz w:val="40"/>
          <w:szCs w:val="40"/>
        </w:rPr>
      </w:pPr>
      <w:r w:rsidRPr="006B3047">
        <w:rPr>
          <w:rFonts w:ascii="Lato" w:hAnsi="Lato"/>
          <w:noProof/>
          <w:sz w:val="40"/>
          <w:szCs w:val="40"/>
          <w:lang w:eastAsia="en-AU"/>
        </w:rPr>
        <w:drawing>
          <wp:anchor distT="0" distB="0" distL="114300" distR="114300" simplePos="0" relativeHeight="251659264" behindDoc="1" locked="0" layoutInCell="1" allowOverlap="1" wp14:anchorId="4676BD72" wp14:editId="4676BD73">
            <wp:simplePos x="0" y="0"/>
            <wp:positionH relativeFrom="page">
              <wp:posOffset>5242560</wp:posOffset>
            </wp:positionH>
            <wp:positionV relativeFrom="paragraph">
              <wp:posOffset>-560705</wp:posOffset>
            </wp:positionV>
            <wp:extent cx="1187450" cy="421640"/>
            <wp:effectExtent l="0" t="0" r="0" b="0"/>
            <wp:wrapThrough wrapText="bothSides">
              <wp:wrapPolygon edited="0">
                <wp:start x="2079" y="0"/>
                <wp:lineTo x="0" y="2928"/>
                <wp:lineTo x="0" y="15614"/>
                <wp:lineTo x="1386" y="20494"/>
                <wp:lineTo x="5891" y="20494"/>
                <wp:lineTo x="16633" y="20494"/>
                <wp:lineTo x="20445" y="19518"/>
                <wp:lineTo x="21138" y="8783"/>
                <wp:lineTo x="21138" y="976"/>
                <wp:lineTo x="5198" y="0"/>
                <wp:lineTo x="207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421640"/>
                    </a:xfrm>
                    <a:prstGeom prst="rect">
                      <a:avLst/>
                    </a:prstGeom>
                  </pic:spPr>
                </pic:pic>
              </a:graphicData>
            </a:graphic>
            <wp14:sizeRelH relativeFrom="page">
              <wp14:pctWidth>0</wp14:pctWidth>
            </wp14:sizeRelH>
            <wp14:sizeRelV relativeFrom="page">
              <wp14:pctHeight>0</wp14:pctHeight>
            </wp14:sizeRelV>
          </wp:anchor>
        </w:drawing>
      </w:r>
    </w:p>
    <w:p w14:paraId="4676BD5A" w14:textId="77777777" w:rsidR="00157488" w:rsidRDefault="00157488" w:rsidP="006B3047">
      <w:pPr>
        <w:spacing w:after="0"/>
        <w:jc w:val="center"/>
        <w:rPr>
          <w:rFonts w:ascii="Lato" w:hAnsi="Lato"/>
          <w:b/>
          <w:sz w:val="40"/>
          <w:szCs w:val="40"/>
        </w:rPr>
      </w:pPr>
    </w:p>
    <w:p w14:paraId="4676BD5B" w14:textId="77777777" w:rsidR="00666BBF" w:rsidRPr="006B3047" w:rsidRDefault="003021A2" w:rsidP="006B3047">
      <w:pPr>
        <w:spacing w:after="0"/>
        <w:jc w:val="center"/>
        <w:rPr>
          <w:rFonts w:ascii="Lato" w:hAnsi="Lato"/>
          <w:b/>
          <w:sz w:val="40"/>
          <w:szCs w:val="40"/>
        </w:rPr>
      </w:pPr>
      <w:r w:rsidRPr="006B3047">
        <w:rPr>
          <w:rFonts w:ascii="Lato" w:hAnsi="Lato"/>
          <w:b/>
          <w:sz w:val="40"/>
          <w:szCs w:val="40"/>
        </w:rPr>
        <w:t>Remote Areas Consultative Group Communiqu</w:t>
      </w:r>
      <w:r w:rsidR="0089559B" w:rsidRPr="006B3047">
        <w:rPr>
          <w:rFonts w:ascii="Lato" w:hAnsi="Lato" w:cstheme="minorHAnsi"/>
          <w:b/>
          <w:sz w:val="40"/>
          <w:szCs w:val="40"/>
        </w:rPr>
        <w:t>é</w:t>
      </w:r>
    </w:p>
    <w:p w14:paraId="4676BD5C" w14:textId="77777777" w:rsidR="00F9714C" w:rsidRPr="006B3047" w:rsidRDefault="00F9714C" w:rsidP="00F9714C">
      <w:pPr>
        <w:pStyle w:val="Default"/>
        <w:rPr>
          <w:rFonts w:ascii="Lato" w:hAnsi="Lato"/>
          <w:sz w:val="21"/>
          <w:szCs w:val="21"/>
        </w:rPr>
      </w:pPr>
    </w:p>
    <w:p w14:paraId="4676BD5D" w14:textId="77777777" w:rsidR="003021A2" w:rsidRPr="006B3047" w:rsidRDefault="003021A2" w:rsidP="006B3047">
      <w:pPr>
        <w:spacing w:after="0"/>
        <w:rPr>
          <w:rFonts w:ascii="Lato" w:hAnsi="Lato"/>
        </w:rPr>
      </w:pPr>
      <w:r w:rsidRPr="006B3047">
        <w:rPr>
          <w:rFonts w:ascii="Lato" w:hAnsi="Lato"/>
        </w:rPr>
        <w:t xml:space="preserve">The Remote Areas Consultative Group (RACG) consists of the four </w:t>
      </w:r>
      <w:r w:rsidR="0089559B" w:rsidRPr="006B3047">
        <w:rPr>
          <w:rFonts w:ascii="Lato" w:hAnsi="Lato"/>
        </w:rPr>
        <w:t>states</w:t>
      </w:r>
      <w:r w:rsidR="006457EF" w:rsidRPr="006B3047">
        <w:rPr>
          <w:rFonts w:ascii="Lato" w:hAnsi="Lato"/>
        </w:rPr>
        <w:t xml:space="preserve"> </w:t>
      </w:r>
      <w:r w:rsidR="0089559B" w:rsidRPr="006B3047">
        <w:rPr>
          <w:rFonts w:ascii="Lato" w:hAnsi="Lato"/>
        </w:rPr>
        <w:t>/</w:t>
      </w:r>
      <w:r w:rsidR="006457EF" w:rsidRPr="006B3047">
        <w:rPr>
          <w:rFonts w:ascii="Lato" w:hAnsi="Lato"/>
        </w:rPr>
        <w:t xml:space="preserve"> </w:t>
      </w:r>
      <w:r w:rsidR="0089559B" w:rsidRPr="006B3047">
        <w:rPr>
          <w:rFonts w:ascii="Lato" w:hAnsi="Lato"/>
        </w:rPr>
        <w:t>territories</w:t>
      </w:r>
      <w:r w:rsidR="00775EE0" w:rsidRPr="006B3047">
        <w:rPr>
          <w:rFonts w:ascii="Lato" w:hAnsi="Lato"/>
        </w:rPr>
        <w:t xml:space="preserve"> with extensive remote regions</w:t>
      </w:r>
      <w:r w:rsidRPr="006B3047">
        <w:rPr>
          <w:rFonts w:ascii="Lato" w:hAnsi="Lato"/>
        </w:rPr>
        <w:t>, namely</w:t>
      </w:r>
      <w:r w:rsidR="00775EE0" w:rsidRPr="006B3047">
        <w:rPr>
          <w:rFonts w:ascii="Lato" w:hAnsi="Lato"/>
        </w:rPr>
        <w:t xml:space="preserve"> </w:t>
      </w:r>
      <w:r w:rsidRPr="006B3047">
        <w:rPr>
          <w:rFonts w:ascii="Lato" w:hAnsi="Lato"/>
        </w:rPr>
        <w:t>Queensland, South Australia</w:t>
      </w:r>
      <w:r w:rsidR="003023E7">
        <w:rPr>
          <w:rFonts w:ascii="Lato" w:hAnsi="Lato"/>
        </w:rPr>
        <w:t>,</w:t>
      </w:r>
      <w:r w:rsidRPr="006B3047">
        <w:rPr>
          <w:rFonts w:ascii="Lato" w:hAnsi="Lato"/>
        </w:rPr>
        <w:t xml:space="preserve"> Western Australia</w:t>
      </w:r>
      <w:r w:rsidR="003023E7">
        <w:rPr>
          <w:rFonts w:ascii="Lato" w:hAnsi="Lato"/>
        </w:rPr>
        <w:t xml:space="preserve"> and </w:t>
      </w:r>
      <w:r w:rsidR="003023E7" w:rsidRPr="006B3047">
        <w:rPr>
          <w:rFonts w:ascii="Lato" w:hAnsi="Lato"/>
        </w:rPr>
        <w:t>the</w:t>
      </w:r>
      <w:r w:rsidR="003023E7">
        <w:rPr>
          <w:rFonts w:ascii="Lato" w:hAnsi="Lato"/>
        </w:rPr>
        <w:t xml:space="preserve"> Northern Territory</w:t>
      </w:r>
      <w:r w:rsidR="00775EE0" w:rsidRPr="006B3047">
        <w:rPr>
          <w:rFonts w:ascii="Lato" w:hAnsi="Lato"/>
        </w:rPr>
        <w:t>. The RACG</w:t>
      </w:r>
      <w:r w:rsidRPr="006B3047">
        <w:rPr>
          <w:rFonts w:ascii="Lato" w:hAnsi="Lato"/>
        </w:rPr>
        <w:t xml:space="preserve"> is sponsored by the Chief Executives of the respective jurisdictions. The purpose of the RACG is to act as an advisory body to provide a remote areas perspective on proposed and existing road reforms.</w:t>
      </w:r>
    </w:p>
    <w:p w14:paraId="4676BD5E" w14:textId="77777777" w:rsidR="00F9714C" w:rsidRPr="006B3047" w:rsidRDefault="00F9714C" w:rsidP="006B3047">
      <w:pPr>
        <w:spacing w:after="0"/>
        <w:rPr>
          <w:rFonts w:ascii="Lato" w:hAnsi="Lato"/>
        </w:rPr>
      </w:pPr>
    </w:p>
    <w:p w14:paraId="4676BD5F" w14:textId="77777777" w:rsidR="003021A2" w:rsidRPr="006B3047" w:rsidRDefault="003023E7" w:rsidP="006B3047">
      <w:pPr>
        <w:spacing w:after="0"/>
        <w:rPr>
          <w:rFonts w:ascii="Lato" w:hAnsi="Lato"/>
        </w:rPr>
      </w:pPr>
      <w:r>
        <w:rPr>
          <w:rFonts w:ascii="Lato" w:hAnsi="Lato"/>
        </w:rPr>
        <w:t>As part of a two year jurisdictional hosting sequence, t</w:t>
      </w:r>
      <w:r w:rsidR="003021A2" w:rsidRPr="006B3047">
        <w:rPr>
          <w:rFonts w:ascii="Lato" w:hAnsi="Lato"/>
        </w:rPr>
        <w:t xml:space="preserve">he Northern Territory hosted </w:t>
      </w:r>
      <w:r>
        <w:rPr>
          <w:rFonts w:ascii="Lato" w:hAnsi="Lato"/>
        </w:rPr>
        <w:t>its</w:t>
      </w:r>
      <w:r w:rsidR="003021A2" w:rsidRPr="006B3047">
        <w:rPr>
          <w:rFonts w:ascii="Lato" w:hAnsi="Lato"/>
        </w:rPr>
        <w:t xml:space="preserve"> </w:t>
      </w:r>
      <w:r w:rsidR="003E5564">
        <w:rPr>
          <w:rFonts w:ascii="Lato" w:hAnsi="Lato"/>
        </w:rPr>
        <w:t>third</w:t>
      </w:r>
      <w:r w:rsidR="003021A2" w:rsidRPr="006B3047">
        <w:rPr>
          <w:rFonts w:ascii="Lato" w:hAnsi="Lato"/>
        </w:rPr>
        <w:t xml:space="preserve"> meeting of the RACG in Darwin on </w:t>
      </w:r>
      <w:r w:rsidR="003E5564">
        <w:rPr>
          <w:rFonts w:ascii="Lato" w:hAnsi="Lato"/>
        </w:rPr>
        <w:t>26 June 2018</w:t>
      </w:r>
      <w:r w:rsidR="003021A2" w:rsidRPr="006B3047">
        <w:rPr>
          <w:rFonts w:ascii="Lato" w:hAnsi="Lato"/>
        </w:rPr>
        <w:t xml:space="preserve">. The meeting was </w:t>
      </w:r>
      <w:r w:rsidR="00A73E6B" w:rsidRPr="006B3047">
        <w:rPr>
          <w:rFonts w:ascii="Lato" w:hAnsi="Lato"/>
        </w:rPr>
        <w:t xml:space="preserve">well </w:t>
      </w:r>
      <w:r w:rsidR="003021A2" w:rsidRPr="006B3047">
        <w:rPr>
          <w:rFonts w:ascii="Lato" w:hAnsi="Lato"/>
        </w:rPr>
        <w:t>attended by all jurisdictions</w:t>
      </w:r>
      <w:r w:rsidR="00A73E6B" w:rsidRPr="006B3047">
        <w:rPr>
          <w:rFonts w:ascii="Lato" w:hAnsi="Lato"/>
        </w:rPr>
        <w:t xml:space="preserve"> and most regional members</w:t>
      </w:r>
      <w:r w:rsidR="003021A2" w:rsidRPr="006B3047">
        <w:rPr>
          <w:rFonts w:ascii="Lato" w:hAnsi="Lato"/>
        </w:rPr>
        <w:t xml:space="preserve">, </w:t>
      </w:r>
      <w:r w:rsidR="00A73E6B" w:rsidRPr="006B3047">
        <w:rPr>
          <w:rFonts w:ascii="Lato" w:hAnsi="Lato"/>
        </w:rPr>
        <w:t xml:space="preserve">as well as </w:t>
      </w:r>
      <w:r w:rsidR="003021A2" w:rsidRPr="006B3047">
        <w:rPr>
          <w:rFonts w:ascii="Lato" w:hAnsi="Lato"/>
        </w:rPr>
        <w:t>the National Road Transport Association</w:t>
      </w:r>
      <w:r w:rsidR="00157488" w:rsidRPr="006B3047">
        <w:rPr>
          <w:rFonts w:ascii="Lato" w:hAnsi="Lato"/>
        </w:rPr>
        <w:t>, National</w:t>
      </w:r>
      <w:r w:rsidR="00A73E6B" w:rsidRPr="006B3047">
        <w:rPr>
          <w:rFonts w:ascii="Lato" w:hAnsi="Lato"/>
        </w:rPr>
        <w:t xml:space="preserve"> Transport Commission and </w:t>
      </w:r>
      <w:r w:rsidR="006457EF" w:rsidRPr="006B3047">
        <w:rPr>
          <w:rFonts w:ascii="Lato" w:hAnsi="Lato"/>
        </w:rPr>
        <w:t xml:space="preserve">the </w:t>
      </w:r>
      <w:r w:rsidR="00A73E6B" w:rsidRPr="006B3047">
        <w:rPr>
          <w:rFonts w:ascii="Lato" w:hAnsi="Lato"/>
        </w:rPr>
        <w:t xml:space="preserve">National Heavy Vehicle Regulator. </w:t>
      </w:r>
    </w:p>
    <w:p w14:paraId="4676BD60" w14:textId="77777777" w:rsidR="00F9714C" w:rsidRPr="006B3047" w:rsidRDefault="00F9714C" w:rsidP="006B3047">
      <w:pPr>
        <w:spacing w:after="0"/>
        <w:rPr>
          <w:rFonts w:ascii="Lato" w:hAnsi="Lato"/>
          <w:sz w:val="21"/>
          <w:szCs w:val="21"/>
        </w:rPr>
      </w:pPr>
    </w:p>
    <w:p w14:paraId="4676BD61" w14:textId="77777777" w:rsidR="00F9714C" w:rsidRPr="006B3047" w:rsidRDefault="003021A2" w:rsidP="006B3047">
      <w:pPr>
        <w:spacing w:after="0"/>
        <w:rPr>
          <w:rFonts w:ascii="Lato" w:hAnsi="Lato"/>
          <w:b/>
          <w:sz w:val="32"/>
          <w:szCs w:val="32"/>
        </w:rPr>
      </w:pPr>
      <w:r w:rsidRPr="006B3047">
        <w:rPr>
          <w:rFonts w:ascii="Lato" w:hAnsi="Lato"/>
          <w:b/>
          <w:sz w:val="32"/>
          <w:szCs w:val="32"/>
        </w:rPr>
        <w:t>Summary of key points and meeting outcomes</w:t>
      </w:r>
    </w:p>
    <w:p w14:paraId="4676BD62" w14:textId="77777777" w:rsidR="00F9714C" w:rsidRPr="006B3047" w:rsidRDefault="00F9714C" w:rsidP="006B3047">
      <w:pPr>
        <w:pStyle w:val="ListParagraph"/>
        <w:spacing w:after="0"/>
        <w:ind w:left="284"/>
        <w:rPr>
          <w:rFonts w:ascii="Lato" w:hAnsi="Lato"/>
        </w:rPr>
      </w:pPr>
    </w:p>
    <w:p w14:paraId="4676BD63" w14:textId="77777777" w:rsidR="006012E4" w:rsidRDefault="006012E4" w:rsidP="006012E4">
      <w:pPr>
        <w:pStyle w:val="ListParagraph"/>
        <w:numPr>
          <w:ilvl w:val="0"/>
          <w:numId w:val="1"/>
        </w:numPr>
        <w:spacing w:after="0"/>
        <w:ind w:left="284" w:hanging="284"/>
        <w:rPr>
          <w:rFonts w:ascii="Lato" w:hAnsi="Lato" w:cstheme="minorHAnsi"/>
        </w:rPr>
      </w:pPr>
      <w:r w:rsidRPr="006B3047">
        <w:rPr>
          <w:rFonts w:ascii="Lato" w:hAnsi="Lato"/>
          <w:b/>
        </w:rPr>
        <w:t xml:space="preserve">NRRTS Cross Border Regulation Project </w:t>
      </w:r>
      <w:r w:rsidRPr="006B3047">
        <w:rPr>
          <w:rFonts w:ascii="Lato" w:hAnsi="Lato"/>
        </w:rPr>
        <w:t>–</w:t>
      </w:r>
      <w:r w:rsidRPr="006B3047">
        <w:rPr>
          <w:rFonts w:ascii="Lato" w:hAnsi="Lato" w:cstheme="minorHAnsi"/>
        </w:rPr>
        <w:t xml:space="preserve"> </w:t>
      </w:r>
      <w:r w:rsidR="003E5564">
        <w:rPr>
          <w:rFonts w:ascii="Lato" w:hAnsi="Lato" w:cstheme="minorHAnsi"/>
        </w:rPr>
        <w:t xml:space="preserve">This project is a key action of the National Remote and Regional Transport Strategy. The project continues to be a key focus of the Group, to ensure that regulation and standards take into account remote and regional issues; minimise regulatory burden and compliance costs for operators in remote and regional areas; are risk based; and are enablers to achieving improved infrastructure and transport services in remote and regional Australia. The Group is currently collating data in order to enable exploration of the economic benefits of expanding the triple road train area of operation within Australia. </w:t>
      </w:r>
      <w:r w:rsidR="0030617A">
        <w:rPr>
          <w:rFonts w:ascii="Lato" w:hAnsi="Lato" w:cstheme="minorHAnsi"/>
        </w:rPr>
        <w:t xml:space="preserve"> </w:t>
      </w:r>
    </w:p>
    <w:p w14:paraId="4676BD64" w14:textId="77777777" w:rsidR="006012E4" w:rsidRPr="006012E4" w:rsidRDefault="006012E4" w:rsidP="006012E4">
      <w:pPr>
        <w:pStyle w:val="ListParagraph"/>
        <w:rPr>
          <w:rFonts w:ascii="Lato" w:hAnsi="Lato" w:cstheme="minorHAnsi"/>
        </w:rPr>
      </w:pPr>
    </w:p>
    <w:p w14:paraId="4676BD65" w14:textId="77777777" w:rsidR="003E5564" w:rsidRPr="003E5564" w:rsidRDefault="003E5564" w:rsidP="006B3047">
      <w:pPr>
        <w:pStyle w:val="ListParagraph"/>
        <w:numPr>
          <w:ilvl w:val="0"/>
          <w:numId w:val="1"/>
        </w:numPr>
        <w:spacing w:after="0"/>
        <w:ind w:left="284" w:hanging="284"/>
        <w:rPr>
          <w:rFonts w:ascii="Lato" w:hAnsi="Lato"/>
        </w:rPr>
      </w:pPr>
      <w:r w:rsidRPr="003E5564">
        <w:rPr>
          <w:rFonts w:ascii="Lato" w:hAnsi="Lato"/>
          <w:b/>
        </w:rPr>
        <w:t>Variances in Over Size and Over Mass permit allowances and conditions</w:t>
      </w:r>
      <w:r>
        <w:rPr>
          <w:rFonts w:ascii="Lato" w:hAnsi="Lato"/>
        </w:rPr>
        <w:t xml:space="preserve"> – The Group is looking for ‘quick wins’ for harmonising OSOM period permit/notice conditions, by identifying the rationale for variances and adjusting them where possible.  </w:t>
      </w:r>
    </w:p>
    <w:p w14:paraId="4676BD66" w14:textId="77777777" w:rsidR="003E5564" w:rsidRPr="003E5564" w:rsidRDefault="003E5564" w:rsidP="003E5564">
      <w:pPr>
        <w:pStyle w:val="ListParagraph"/>
        <w:rPr>
          <w:rFonts w:ascii="Lato" w:hAnsi="Lato"/>
          <w:b/>
        </w:rPr>
      </w:pPr>
    </w:p>
    <w:p w14:paraId="4676BD67" w14:textId="77777777" w:rsidR="003E5564" w:rsidRPr="003E5564" w:rsidRDefault="003E5564" w:rsidP="006B3047">
      <w:pPr>
        <w:pStyle w:val="ListParagraph"/>
        <w:numPr>
          <w:ilvl w:val="0"/>
          <w:numId w:val="1"/>
        </w:numPr>
        <w:spacing w:after="0"/>
        <w:ind w:left="284" w:hanging="284"/>
        <w:rPr>
          <w:rFonts w:ascii="Lato" w:hAnsi="Lato"/>
        </w:rPr>
      </w:pPr>
      <w:r w:rsidRPr="00610009">
        <w:rPr>
          <w:rFonts w:ascii="Lato" w:hAnsi="Lato"/>
          <w:b/>
        </w:rPr>
        <w:t>Access inconsistencies for twin steers and tri-drives</w:t>
      </w:r>
      <w:r>
        <w:rPr>
          <w:rFonts w:ascii="Lato" w:hAnsi="Lato"/>
        </w:rPr>
        <w:t xml:space="preserve">  - </w:t>
      </w:r>
      <w:r w:rsidR="00610009">
        <w:rPr>
          <w:rFonts w:ascii="Lato" w:hAnsi="Lato"/>
        </w:rPr>
        <w:t xml:space="preserve">The Group is seeking solutions where access is restricted, either due to infrastructure limitations, or to historical reasons that may no longer apply. Permitting these combinations on a greater area of the road network would reduce the number of heavy vehicles on the road. </w:t>
      </w:r>
    </w:p>
    <w:p w14:paraId="4676BD68" w14:textId="77777777" w:rsidR="003E5564" w:rsidRPr="003E5564" w:rsidRDefault="003E5564" w:rsidP="003E5564">
      <w:pPr>
        <w:pStyle w:val="ListParagraph"/>
        <w:rPr>
          <w:rFonts w:ascii="Lato" w:hAnsi="Lato"/>
          <w:b/>
        </w:rPr>
      </w:pPr>
    </w:p>
    <w:p w14:paraId="4676BD69" w14:textId="77777777" w:rsidR="003021A2" w:rsidRPr="006B3047" w:rsidRDefault="005533BC" w:rsidP="006B3047">
      <w:pPr>
        <w:pStyle w:val="ListParagraph"/>
        <w:numPr>
          <w:ilvl w:val="0"/>
          <w:numId w:val="1"/>
        </w:numPr>
        <w:spacing w:after="0"/>
        <w:ind w:left="284" w:hanging="284"/>
        <w:rPr>
          <w:rFonts w:ascii="Lato" w:hAnsi="Lato"/>
        </w:rPr>
      </w:pPr>
      <w:r w:rsidRPr="006B3047">
        <w:rPr>
          <w:rFonts w:ascii="Lato" w:hAnsi="Lato"/>
          <w:b/>
        </w:rPr>
        <w:t xml:space="preserve">Regional </w:t>
      </w:r>
      <w:r w:rsidR="00726E5A" w:rsidRPr="006B3047">
        <w:rPr>
          <w:rFonts w:ascii="Lato" w:hAnsi="Lato"/>
          <w:b/>
        </w:rPr>
        <w:t>issue</w:t>
      </w:r>
      <w:r w:rsidRPr="006B3047">
        <w:rPr>
          <w:rFonts w:ascii="Lato" w:hAnsi="Lato"/>
          <w:b/>
        </w:rPr>
        <w:t xml:space="preserve">s </w:t>
      </w:r>
      <w:r w:rsidRPr="006B3047">
        <w:rPr>
          <w:rFonts w:ascii="Lato" w:hAnsi="Lato"/>
        </w:rPr>
        <w:t xml:space="preserve">– All government and industry bodies provided updates on key current activities </w:t>
      </w:r>
      <w:r w:rsidR="00726E5A" w:rsidRPr="006B3047">
        <w:rPr>
          <w:rFonts w:ascii="Lato" w:hAnsi="Lato"/>
        </w:rPr>
        <w:t>and issues</w:t>
      </w:r>
      <w:r w:rsidR="00605F59" w:rsidRPr="006B3047">
        <w:rPr>
          <w:rFonts w:ascii="Lato" w:hAnsi="Lato"/>
        </w:rPr>
        <w:t>.</w:t>
      </w:r>
      <w:r w:rsidR="0030617A">
        <w:rPr>
          <w:rFonts w:ascii="Lato" w:hAnsi="Lato"/>
        </w:rPr>
        <w:t xml:space="preserve"> </w:t>
      </w:r>
      <w:r w:rsidR="00610009">
        <w:rPr>
          <w:rFonts w:ascii="Lato" w:hAnsi="Lato"/>
        </w:rPr>
        <w:t>Local government methodology for charging for road wear and the ‘counting time’ rule in the Heavy Vehicle National Law were discussed</w:t>
      </w:r>
      <w:r w:rsidR="00B93A82">
        <w:rPr>
          <w:rFonts w:ascii="Lato" w:hAnsi="Lato"/>
        </w:rPr>
        <w:t xml:space="preserve">. </w:t>
      </w:r>
    </w:p>
    <w:p w14:paraId="4676BD6A" w14:textId="77777777" w:rsidR="009026A6" w:rsidRPr="006B3047" w:rsidRDefault="009026A6" w:rsidP="006B3047">
      <w:pPr>
        <w:autoSpaceDE w:val="0"/>
        <w:autoSpaceDN w:val="0"/>
        <w:adjustRightInd w:val="0"/>
        <w:spacing w:after="0" w:line="240" w:lineRule="auto"/>
        <w:rPr>
          <w:rFonts w:ascii="Lato" w:hAnsi="Lato" w:cs="Calibri"/>
          <w:strike/>
          <w:color w:val="000000"/>
        </w:rPr>
      </w:pPr>
    </w:p>
    <w:p w14:paraId="4676BD6B" w14:textId="77777777" w:rsidR="00C41CF8" w:rsidRPr="006B3047" w:rsidRDefault="00A83D73" w:rsidP="006B3047">
      <w:pPr>
        <w:pStyle w:val="ListParagraph"/>
        <w:numPr>
          <w:ilvl w:val="0"/>
          <w:numId w:val="1"/>
        </w:numPr>
        <w:spacing w:after="0"/>
        <w:ind w:left="284" w:hanging="284"/>
        <w:rPr>
          <w:rFonts w:ascii="Lato" w:hAnsi="Lato"/>
        </w:rPr>
      </w:pPr>
      <w:r w:rsidRPr="006B3047">
        <w:rPr>
          <w:rFonts w:ascii="Lato" w:hAnsi="Lato"/>
          <w:b/>
        </w:rPr>
        <w:t>National Heavy Vehicle Regulator</w:t>
      </w:r>
      <w:r w:rsidR="00C41CF8" w:rsidRPr="006B3047">
        <w:rPr>
          <w:rFonts w:ascii="Lato" w:hAnsi="Lato"/>
          <w:b/>
        </w:rPr>
        <w:t xml:space="preserve"> </w:t>
      </w:r>
      <w:r w:rsidR="00C41CF8" w:rsidRPr="006B3047">
        <w:rPr>
          <w:rFonts w:ascii="Lato" w:hAnsi="Lato"/>
        </w:rPr>
        <w:t>–</w:t>
      </w:r>
      <w:r w:rsidR="0030617A">
        <w:rPr>
          <w:rFonts w:ascii="Lato" w:hAnsi="Lato"/>
        </w:rPr>
        <w:t xml:space="preserve"> </w:t>
      </w:r>
      <w:r w:rsidR="00610009">
        <w:rPr>
          <w:rFonts w:ascii="Lato" w:hAnsi="Lato"/>
        </w:rPr>
        <w:t xml:space="preserve">Provided an update on the customer portal </w:t>
      </w:r>
      <w:r w:rsidR="00157488">
        <w:rPr>
          <w:rFonts w:ascii="Lato" w:hAnsi="Lato"/>
        </w:rPr>
        <w:t>and road</w:t>
      </w:r>
      <w:r w:rsidR="0030617A">
        <w:rPr>
          <w:rFonts w:ascii="Lato" w:hAnsi="Lato"/>
        </w:rPr>
        <w:t xml:space="preserve"> manager permit access systems and the </w:t>
      </w:r>
      <w:r w:rsidR="00610009">
        <w:rPr>
          <w:rFonts w:ascii="Lato" w:hAnsi="Lato"/>
        </w:rPr>
        <w:t>rollout of the National Services Transition</w:t>
      </w:r>
      <w:r w:rsidR="0030617A">
        <w:rPr>
          <w:rFonts w:ascii="Lato" w:hAnsi="Lato"/>
        </w:rPr>
        <w:t xml:space="preserve">. </w:t>
      </w:r>
      <w:r w:rsidR="00610009">
        <w:rPr>
          <w:rFonts w:ascii="Lato" w:hAnsi="Lato"/>
        </w:rPr>
        <w:t xml:space="preserve">The National Compliance and Enforcement Policy is currently at the consultation draft stage. </w:t>
      </w:r>
      <w:r w:rsidR="00610009">
        <w:rPr>
          <w:rFonts w:ascii="Lato" w:hAnsi="Lato"/>
        </w:rPr>
        <w:lastRenderedPageBreak/>
        <w:t xml:space="preserve">Electronic Work Diaries Policy Framework and Standards are being revised following consultation and will be published shortly to allow EWD operations to commence. </w:t>
      </w:r>
    </w:p>
    <w:p w14:paraId="4676BD6C" w14:textId="77777777" w:rsidR="00F9714C" w:rsidRPr="006B3047" w:rsidRDefault="00F9714C" w:rsidP="006B3047">
      <w:pPr>
        <w:spacing w:after="0"/>
        <w:rPr>
          <w:rFonts w:ascii="Lato" w:hAnsi="Lato"/>
        </w:rPr>
      </w:pPr>
    </w:p>
    <w:p w14:paraId="4676BD6D" w14:textId="77777777" w:rsidR="00F9714C" w:rsidRDefault="00775EE0" w:rsidP="006B3047">
      <w:pPr>
        <w:pStyle w:val="ListParagraph"/>
        <w:numPr>
          <w:ilvl w:val="0"/>
          <w:numId w:val="1"/>
        </w:numPr>
        <w:spacing w:after="0"/>
        <w:ind w:left="284" w:hanging="284"/>
        <w:rPr>
          <w:rFonts w:ascii="Lato" w:hAnsi="Lato" w:cstheme="minorHAnsi"/>
        </w:rPr>
      </w:pPr>
      <w:r w:rsidRPr="006B3047">
        <w:rPr>
          <w:rFonts w:ascii="Lato" w:hAnsi="Lato"/>
          <w:b/>
        </w:rPr>
        <w:t xml:space="preserve">National Transport Commission </w:t>
      </w:r>
      <w:r w:rsidRPr="006B3047">
        <w:rPr>
          <w:rFonts w:ascii="Lato" w:hAnsi="Lato"/>
        </w:rPr>
        <w:t>–</w:t>
      </w:r>
      <w:r w:rsidRPr="006B3047">
        <w:rPr>
          <w:rFonts w:ascii="Lato" w:hAnsi="Lato" w:cstheme="minorHAnsi"/>
        </w:rPr>
        <w:t xml:space="preserve"> </w:t>
      </w:r>
      <w:r w:rsidR="00610009">
        <w:rPr>
          <w:rFonts w:ascii="Lato" w:hAnsi="Lato" w:cstheme="minorHAnsi"/>
        </w:rPr>
        <w:t xml:space="preserve">The NTC currently has six papers out for public consultation, including Heavy Vehicle (Vehicle Standards) National Regulation Consultation draft, Mass Limits for Three-axle Buses, Effluent and Load Restraint, and HVNL Fatigue Issues. </w:t>
      </w:r>
    </w:p>
    <w:p w14:paraId="4676BD6E" w14:textId="77777777" w:rsidR="00775EE0" w:rsidRPr="006B3047" w:rsidRDefault="00775EE0" w:rsidP="006B3047">
      <w:pPr>
        <w:spacing w:after="0"/>
        <w:rPr>
          <w:rFonts w:ascii="Lato" w:hAnsi="Lato" w:cstheme="minorHAnsi"/>
        </w:rPr>
      </w:pPr>
    </w:p>
    <w:p w14:paraId="4676BD6F" w14:textId="77777777" w:rsidR="003403C7" w:rsidRPr="006B3047" w:rsidRDefault="003403C7" w:rsidP="006B3047">
      <w:pPr>
        <w:pStyle w:val="ListParagraph"/>
        <w:numPr>
          <w:ilvl w:val="0"/>
          <w:numId w:val="1"/>
        </w:numPr>
        <w:spacing w:after="0"/>
        <w:ind w:left="284" w:hanging="284"/>
        <w:rPr>
          <w:rFonts w:ascii="Lato" w:hAnsi="Lato" w:cstheme="minorHAnsi"/>
        </w:rPr>
      </w:pPr>
      <w:r w:rsidRPr="006B3047">
        <w:rPr>
          <w:rFonts w:ascii="Lato" w:hAnsi="Lato" w:cstheme="minorHAnsi"/>
        </w:rPr>
        <w:t xml:space="preserve">The next RACG meeting </w:t>
      </w:r>
      <w:r w:rsidR="0030617A">
        <w:rPr>
          <w:rFonts w:ascii="Lato" w:hAnsi="Lato" w:cstheme="minorHAnsi"/>
        </w:rPr>
        <w:t>is</w:t>
      </w:r>
      <w:r w:rsidRPr="006B3047">
        <w:rPr>
          <w:rFonts w:ascii="Lato" w:hAnsi="Lato" w:cstheme="minorHAnsi"/>
        </w:rPr>
        <w:t xml:space="preserve"> scheduled for </w:t>
      </w:r>
      <w:r w:rsidR="00157488">
        <w:rPr>
          <w:rFonts w:ascii="Lato" w:hAnsi="Lato" w:cstheme="minorHAnsi"/>
        </w:rPr>
        <w:t>November</w:t>
      </w:r>
      <w:r w:rsidR="0030617A">
        <w:rPr>
          <w:rFonts w:ascii="Lato" w:hAnsi="Lato" w:cstheme="minorHAnsi"/>
        </w:rPr>
        <w:t xml:space="preserve"> 2018</w:t>
      </w:r>
      <w:r w:rsidR="00596A3A" w:rsidRPr="006B3047">
        <w:rPr>
          <w:rFonts w:ascii="Lato" w:hAnsi="Lato" w:cstheme="minorHAnsi"/>
        </w:rPr>
        <w:t xml:space="preserve"> in Darwin</w:t>
      </w:r>
      <w:r w:rsidRPr="006B3047">
        <w:rPr>
          <w:rFonts w:ascii="Lato" w:hAnsi="Lato" w:cstheme="minorHAnsi"/>
        </w:rPr>
        <w:t>.</w:t>
      </w:r>
      <w:r w:rsidR="00157488">
        <w:rPr>
          <w:rFonts w:ascii="Lato" w:hAnsi="Lato" w:cstheme="minorHAnsi"/>
        </w:rPr>
        <w:t xml:space="preserve"> </w:t>
      </w:r>
    </w:p>
    <w:p w14:paraId="4676BD70" w14:textId="77777777" w:rsidR="00EA1E33" w:rsidRPr="006B3047" w:rsidRDefault="00EA1E33" w:rsidP="006B3047">
      <w:pPr>
        <w:pStyle w:val="ListParagraph"/>
        <w:spacing w:after="0"/>
        <w:ind w:left="284"/>
        <w:rPr>
          <w:rFonts w:ascii="Lato" w:hAnsi="Lato" w:cstheme="minorHAnsi"/>
        </w:rPr>
      </w:pPr>
    </w:p>
    <w:p w14:paraId="4676BD71" w14:textId="77777777" w:rsidR="00EA1E33" w:rsidRPr="00F9714C" w:rsidRDefault="003403C7" w:rsidP="006B3047">
      <w:pPr>
        <w:spacing w:after="0"/>
      </w:pPr>
      <w:r w:rsidRPr="006B3047">
        <w:rPr>
          <w:rFonts w:ascii="Lato" w:hAnsi="Lato" w:cstheme="minorHAnsi"/>
        </w:rPr>
        <w:t xml:space="preserve">For further information, contact the RACG Secretariat on </w:t>
      </w:r>
      <w:hyperlink r:id="rId8" w:history="1">
        <w:r w:rsidRPr="006B3047">
          <w:rPr>
            <w:rStyle w:val="Hyperlink"/>
            <w:rFonts w:ascii="Lato" w:hAnsi="Lato" w:cstheme="minorHAnsi"/>
          </w:rPr>
          <w:t>policy</w:t>
        </w:r>
        <w:r w:rsidR="002F7A63">
          <w:rPr>
            <w:rStyle w:val="Hyperlink"/>
            <w:rFonts w:ascii="Lato" w:hAnsi="Lato" w:cstheme="minorHAnsi"/>
          </w:rPr>
          <w:t>.transport</w:t>
        </w:r>
        <w:r w:rsidRPr="006B3047">
          <w:rPr>
            <w:rStyle w:val="Hyperlink"/>
            <w:rFonts w:ascii="Lato" w:hAnsi="Lato" w:cstheme="minorHAnsi"/>
          </w:rPr>
          <w:t>@nt.gov.au</w:t>
        </w:r>
      </w:hyperlink>
      <w:r w:rsidRPr="006B3047">
        <w:rPr>
          <w:rFonts w:ascii="Lato" w:hAnsi="Lato" w:cstheme="minorHAnsi"/>
        </w:rPr>
        <w:t xml:space="preserve"> or telephone (08) 8924 7965.</w:t>
      </w:r>
    </w:p>
    <w:sectPr w:rsidR="00EA1E33" w:rsidRPr="00F971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BD76" w14:textId="77777777" w:rsidR="006457EF" w:rsidRDefault="006457EF" w:rsidP="006457EF">
      <w:pPr>
        <w:spacing w:after="0" w:line="240" w:lineRule="auto"/>
      </w:pPr>
      <w:r>
        <w:separator/>
      </w:r>
    </w:p>
  </w:endnote>
  <w:endnote w:type="continuationSeparator" w:id="0">
    <w:p w14:paraId="4676BD77" w14:textId="77777777" w:rsidR="006457EF" w:rsidRDefault="006457EF" w:rsidP="0064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BD74" w14:textId="77777777" w:rsidR="006457EF" w:rsidRDefault="006457EF" w:rsidP="006457EF">
      <w:pPr>
        <w:spacing w:after="0" w:line="240" w:lineRule="auto"/>
      </w:pPr>
      <w:r>
        <w:separator/>
      </w:r>
    </w:p>
  </w:footnote>
  <w:footnote w:type="continuationSeparator" w:id="0">
    <w:p w14:paraId="4676BD75" w14:textId="77777777" w:rsidR="006457EF" w:rsidRDefault="006457EF" w:rsidP="0064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DB5"/>
    <w:multiLevelType w:val="hybridMultilevel"/>
    <w:tmpl w:val="2F6E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694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2"/>
    <w:rsid w:val="001344A7"/>
    <w:rsid w:val="00157488"/>
    <w:rsid w:val="001D525C"/>
    <w:rsid w:val="002630D3"/>
    <w:rsid w:val="002F7A63"/>
    <w:rsid w:val="003021A2"/>
    <w:rsid w:val="003023E7"/>
    <w:rsid w:val="0030617A"/>
    <w:rsid w:val="003403C7"/>
    <w:rsid w:val="0036352B"/>
    <w:rsid w:val="00392C29"/>
    <w:rsid w:val="003C2758"/>
    <w:rsid w:val="003D4967"/>
    <w:rsid w:val="003E5564"/>
    <w:rsid w:val="004F2457"/>
    <w:rsid w:val="005533BC"/>
    <w:rsid w:val="00596A3A"/>
    <w:rsid w:val="005D3AD4"/>
    <w:rsid w:val="006012E4"/>
    <w:rsid w:val="00605F59"/>
    <w:rsid w:val="00610009"/>
    <w:rsid w:val="006457EF"/>
    <w:rsid w:val="00666BBF"/>
    <w:rsid w:val="006A7704"/>
    <w:rsid w:val="006B3047"/>
    <w:rsid w:val="00726E5A"/>
    <w:rsid w:val="00772EAD"/>
    <w:rsid w:val="00775EE0"/>
    <w:rsid w:val="007B1CC8"/>
    <w:rsid w:val="00805120"/>
    <w:rsid w:val="0089559B"/>
    <w:rsid w:val="009026A6"/>
    <w:rsid w:val="00974181"/>
    <w:rsid w:val="00A73E6B"/>
    <w:rsid w:val="00A83D73"/>
    <w:rsid w:val="00AC296A"/>
    <w:rsid w:val="00B93A82"/>
    <w:rsid w:val="00C3612D"/>
    <w:rsid w:val="00C41CF8"/>
    <w:rsid w:val="00C97F6D"/>
    <w:rsid w:val="00E3249B"/>
    <w:rsid w:val="00E565B8"/>
    <w:rsid w:val="00E75295"/>
    <w:rsid w:val="00E91680"/>
    <w:rsid w:val="00EA1E33"/>
    <w:rsid w:val="00F441D2"/>
    <w:rsid w:val="00F97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04"/>
  </w:style>
  <w:style w:type="paragraph" w:styleId="Heading1">
    <w:name w:val="heading 1"/>
    <w:basedOn w:val="Normal"/>
    <w:next w:val="Normal"/>
    <w:link w:val="Heading1Char"/>
    <w:uiPriority w:val="9"/>
    <w:qFormat/>
    <w:rsid w:val="006A7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7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77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A7704"/>
    <w:pPr>
      <w:ind w:left="720"/>
      <w:contextualSpacing/>
    </w:pPr>
  </w:style>
  <w:style w:type="paragraph" w:customStyle="1" w:styleId="Default">
    <w:name w:val="Default"/>
    <w:rsid w:val="003021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05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59"/>
    <w:rPr>
      <w:rFonts w:ascii="Tahoma" w:hAnsi="Tahoma" w:cs="Tahoma"/>
      <w:sz w:val="16"/>
      <w:szCs w:val="16"/>
    </w:rPr>
  </w:style>
  <w:style w:type="character" w:styleId="CommentReference">
    <w:name w:val="annotation reference"/>
    <w:basedOn w:val="DefaultParagraphFont"/>
    <w:uiPriority w:val="99"/>
    <w:semiHidden/>
    <w:unhideWhenUsed/>
    <w:rsid w:val="003C2758"/>
    <w:rPr>
      <w:sz w:val="16"/>
      <w:szCs w:val="16"/>
    </w:rPr>
  </w:style>
  <w:style w:type="paragraph" w:styleId="CommentText">
    <w:name w:val="annotation text"/>
    <w:basedOn w:val="Normal"/>
    <w:link w:val="CommentTextChar"/>
    <w:uiPriority w:val="99"/>
    <w:semiHidden/>
    <w:unhideWhenUsed/>
    <w:rsid w:val="003C2758"/>
    <w:pPr>
      <w:spacing w:line="240" w:lineRule="auto"/>
    </w:pPr>
    <w:rPr>
      <w:sz w:val="20"/>
      <w:szCs w:val="20"/>
    </w:rPr>
  </w:style>
  <w:style w:type="character" w:customStyle="1" w:styleId="CommentTextChar">
    <w:name w:val="Comment Text Char"/>
    <w:basedOn w:val="DefaultParagraphFont"/>
    <w:link w:val="CommentText"/>
    <w:uiPriority w:val="99"/>
    <w:semiHidden/>
    <w:rsid w:val="003C2758"/>
    <w:rPr>
      <w:sz w:val="20"/>
      <w:szCs w:val="20"/>
    </w:rPr>
  </w:style>
  <w:style w:type="paragraph" w:styleId="CommentSubject">
    <w:name w:val="annotation subject"/>
    <w:basedOn w:val="CommentText"/>
    <w:next w:val="CommentText"/>
    <w:link w:val="CommentSubjectChar"/>
    <w:uiPriority w:val="99"/>
    <w:semiHidden/>
    <w:unhideWhenUsed/>
    <w:rsid w:val="003C2758"/>
    <w:rPr>
      <w:b/>
      <w:bCs/>
    </w:rPr>
  </w:style>
  <w:style w:type="character" w:customStyle="1" w:styleId="CommentSubjectChar">
    <w:name w:val="Comment Subject Char"/>
    <w:basedOn w:val="CommentTextChar"/>
    <w:link w:val="CommentSubject"/>
    <w:uiPriority w:val="99"/>
    <w:semiHidden/>
    <w:rsid w:val="003C2758"/>
    <w:rPr>
      <w:b/>
      <w:bCs/>
      <w:sz w:val="20"/>
      <w:szCs w:val="20"/>
    </w:rPr>
  </w:style>
  <w:style w:type="paragraph" w:styleId="Header">
    <w:name w:val="header"/>
    <w:basedOn w:val="Normal"/>
    <w:link w:val="HeaderChar"/>
    <w:uiPriority w:val="99"/>
    <w:unhideWhenUsed/>
    <w:rsid w:val="00645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7EF"/>
  </w:style>
  <w:style w:type="paragraph" w:styleId="Footer">
    <w:name w:val="footer"/>
    <w:basedOn w:val="Normal"/>
    <w:link w:val="FooterChar"/>
    <w:uiPriority w:val="99"/>
    <w:unhideWhenUsed/>
    <w:rsid w:val="00645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7EF"/>
  </w:style>
  <w:style w:type="character" w:styleId="Hyperlink">
    <w:name w:val="Hyperlink"/>
    <w:basedOn w:val="DefaultParagraphFont"/>
    <w:uiPriority w:val="99"/>
    <w:unhideWhenUsed/>
    <w:rsid w:val="00340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licy@nt.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Areas Consultative Group Communiqué</dc:title>
  <dc:creator/>
  <cp:lastModifiedBy/>
  <cp:revision>1</cp:revision>
  <dcterms:created xsi:type="dcterms:W3CDTF">2024-08-13T01:22:00Z</dcterms:created>
  <dcterms:modified xsi:type="dcterms:W3CDTF">2024-08-13T01:22:00Z</dcterms:modified>
</cp:coreProperties>
</file>